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rPr>
          <w:rFonts w:ascii="黑体" w:hAnsi="黑体" w:eastAsia="黑体" w:cs="Times New Roman"/>
          <w:sz w:val="32"/>
          <w:szCs w:val="32"/>
        </w:rPr>
      </w:pPr>
      <w:bookmarkStart w:id="8" w:name="_GoBack"/>
      <w:bookmarkEnd w:id="8"/>
      <w:r>
        <w:rPr>
          <w:rFonts w:hint="eastAsia" w:ascii="黑体" w:hAnsi="黑体" w:eastAsia="黑体" w:cs="黑体"/>
          <w:sz w:val="32"/>
          <w:szCs w:val="32"/>
        </w:rPr>
        <w:t>附件</w:t>
      </w:r>
    </w:p>
    <w:p>
      <w:pPr>
        <w:adjustRightInd w:val="0"/>
        <w:snapToGrid w:val="0"/>
        <w:spacing w:line="640" w:lineRule="atLeast"/>
        <w:rPr>
          <w:rFonts w:ascii="黑体" w:hAnsi="黑体" w:eastAsia="黑体" w:cs="Times New Roman"/>
          <w:sz w:val="32"/>
          <w:szCs w:val="32"/>
        </w:rPr>
      </w:pPr>
    </w:p>
    <w:p>
      <w:pPr>
        <w:adjustRightInd w:val="0"/>
        <w:snapToGrid w:val="0"/>
        <w:spacing w:line="640" w:lineRule="atLeast"/>
        <w:jc w:val="center"/>
        <w:rPr>
          <w:rFonts w:eastAsia="方正小标宋简体" w:cs="Times New Roman"/>
          <w:spacing w:val="2"/>
          <w:w w:val="95"/>
          <w:kern w:val="0"/>
          <w:sz w:val="44"/>
          <w:szCs w:val="44"/>
          <w:shd w:val="clear" w:color="auto" w:fill="FFFFFF"/>
        </w:rPr>
      </w:pPr>
      <w:r>
        <w:rPr>
          <w:rFonts w:hint="eastAsia" w:eastAsia="方正小标宋简体" w:cs="方正小标宋简体"/>
          <w:spacing w:val="2"/>
          <w:w w:val="95"/>
          <w:kern w:val="0"/>
          <w:sz w:val="44"/>
          <w:szCs w:val="44"/>
          <w:shd w:val="clear" w:color="auto" w:fill="FFFFFF"/>
        </w:rPr>
        <w:t>甘肃省管道燃气特许经营评估管理办法（试行）</w:t>
      </w:r>
    </w:p>
    <w:p>
      <w:pPr>
        <w:adjustRightInd w:val="0"/>
        <w:snapToGrid w:val="0"/>
        <w:spacing w:line="640" w:lineRule="atLeast"/>
        <w:jc w:val="center"/>
        <w:rPr>
          <w:rFonts w:ascii="楷体_GB2312" w:hAnsi="楷体" w:eastAsia="楷体_GB2312" w:cs="Times New Roman"/>
          <w:sz w:val="32"/>
          <w:szCs w:val="32"/>
        </w:rPr>
      </w:pPr>
      <w:r>
        <w:rPr>
          <w:rFonts w:hint="eastAsia" w:ascii="楷体_GB2312" w:hAnsi="楷体" w:eastAsia="楷体_GB2312" w:cs="楷体_GB2312"/>
          <w:sz w:val="32"/>
          <w:szCs w:val="32"/>
        </w:rPr>
        <w:t>（征求意见稿）</w:t>
      </w:r>
    </w:p>
    <w:p>
      <w:pPr>
        <w:autoSpaceDE w:val="0"/>
        <w:autoSpaceDN w:val="0"/>
        <w:adjustRightInd w:val="0"/>
        <w:snapToGrid w:val="0"/>
        <w:spacing w:line="640" w:lineRule="atLeast"/>
        <w:rPr>
          <w:rFonts w:ascii="仿宋_GB2312" w:hAnsi="黑体" w:eastAsia="仿宋_GB2312" w:cs="Times New Roman"/>
          <w:kern w:val="0"/>
          <w:sz w:val="32"/>
          <w:szCs w:val="32"/>
        </w:rPr>
      </w:pP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第一条</w:t>
      </w:r>
      <w:r>
        <w:rPr>
          <w:rFonts w:ascii="仿宋_GB2312" w:eastAsia="仿宋_GB2312" w:cs="仿宋_GB2312"/>
          <w:sz w:val="32"/>
          <w:szCs w:val="32"/>
        </w:rPr>
        <w:t xml:space="preserve">  </w:t>
      </w:r>
      <w:r>
        <w:rPr>
          <w:rFonts w:hint="eastAsia" w:ascii="仿宋_GB2312" w:eastAsia="仿宋_GB2312" w:cs="仿宋_GB2312"/>
          <w:kern w:val="0"/>
          <w:sz w:val="32"/>
          <w:szCs w:val="32"/>
        </w:rPr>
        <w:t>为进一步规范全省管道燃气特许经营行为，促进管道燃气行业健康有序发展，依据《甘肃省燃气管理条例》《基础设施和公用事业特许经营管理办法》《市政公用事业特许经营管理办法》，结合本省实际，制定本办法。</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第二条</w:t>
      </w:r>
      <w:r>
        <w:rPr>
          <w:rFonts w:ascii="仿宋_GB2312" w:eastAsia="仿宋_GB2312" w:cs="仿宋_GB2312"/>
          <w:sz w:val="32"/>
          <w:szCs w:val="32"/>
        </w:rPr>
        <w:t xml:space="preserve">  </w:t>
      </w:r>
      <w:r>
        <w:rPr>
          <w:rFonts w:hint="eastAsia" w:ascii="仿宋_GB2312" w:eastAsia="仿宋_GB2312" w:cs="仿宋_GB2312"/>
          <w:kern w:val="0"/>
          <w:sz w:val="32"/>
          <w:szCs w:val="32"/>
        </w:rPr>
        <w:t>本办法适用于全省行政区域内管道燃气特许经营企业的评估管理。</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评估组织</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kern w:val="0"/>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甘肃</w:t>
      </w:r>
      <w:r>
        <w:rPr>
          <w:rFonts w:hint="eastAsia" w:ascii="仿宋_GB2312" w:eastAsia="仿宋_GB2312" w:cs="仿宋_GB2312"/>
          <w:kern w:val="0"/>
          <w:sz w:val="32"/>
          <w:szCs w:val="32"/>
        </w:rPr>
        <w:t>省住房和城乡建设厅负责全省行政区域内管道燃气特许经营评估的指导、监督工作。</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kern w:val="0"/>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市（州）、县（市、区）人民政府燃气主管部门会同城管、发展改革、公安、财政、自然资源、商务、应急管理、市场监管、消防救援等部门开展特许经营评估工作。</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第五条</w:t>
      </w:r>
      <w:r>
        <w:rPr>
          <w:rFonts w:ascii="仿宋_GB2312" w:eastAsia="仿宋_GB2312" w:cs="仿宋_GB2312"/>
          <w:kern w:val="0"/>
          <w:sz w:val="32"/>
          <w:szCs w:val="32"/>
        </w:rPr>
        <w:t xml:space="preserve">  </w:t>
      </w:r>
      <w:r>
        <w:rPr>
          <w:rFonts w:hint="eastAsia" w:ascii="仿宋_GB2312" w:eastAsia="仿宋_GB2312" w:cs="仿宋_GB2312"/>
          <w:sz w:val="32"/>
          <w:szCs w:val="32"/>
        </w:rPr>
        <w:t>市（州）、县（市、区）</w:t>
      </w:r>
      <w:r>
        <w:rPr>
          <w:rFonts w:hint="eastAsia" w:ascii="仿宋_GB2312" w:eastAsia="仿宋_GB2312" w:cs="仿宋_GB2312"/>
          <w:kern w:val="0"/>
          <w:sz w:val="32"/>
          <w:szCs w:val="32"/>
        </w:rPr>
        <w:t>建立管道燃气特许经营评估举报受理制度，公开举报电话、信箱或电子邮件地址，受理有关举报。受理的举报事项经调查核实后，应当形成书面材料，督促管道燃气特许经营企业及相关方落实整改。</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评估内容</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第六条</w:t>
      </w:r>
      <w:r>
        <w:rPr>
          <w:rFonts w:ascii="仿宋_GB2312" w:eastAsia="仿宋_GB2312" w:cs="仿宋_GB2312"/>
          <w:sz w:val="32"/>
          <w:szCs w:val="32"/>
        </w:rPr>
        <w:t xml:space="preserve">  </w:t>
      </w:r>
      <w:r>
        <w:rPr>
          <w:rFonts w:hint="eastAsia" w:ascii="仿宋_GB2312" w:eastAsia="仿宋_GB2312" w:cs="仿宋_GB2312"/>
          <w:kern w:val="0"/>
          <w:sz w:val="32"/>
          <w:szCs w:val="32"/>
        </w:rPr>
        <w:t>管道燃气特许经营评估包括：</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（一）特许经营协议合法性完整性评估；</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（二）企业经营情况评估。</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第七条</w:t>
      </w:r>
      <w:r>
        <w:rPr>
          <w:rFonts w:ascii="仿宋_GB2312" w:eastAsia="仿宋_GB2312" w:cs="仿宋_GB2312"/>
          <w:sz w:val="32"/>
          <w:szCs w:val="32"/>
        </w:rPr>
        <w:t xml:space="preserve">  </w:t>
      </w:r>
      <w:r>
        <w:rPr>
          <w:rFonts w:hint="eastAsia" w:ascii="仿宋_GB2312" w:eastAsia="仿宋_GB2312" w:cs="仿宋_GB2312"/>
          <w:kern w:val="0"/>
          <w:sz w:val="32"/>
          <w:szCs w:val="32"/>
        </w:rPr>
        <w:t>特许经营协议合法性完整性评估内容：</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（一）特许经营权授予的合法性；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（二）协议条款的合法性；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（三）协议条款的完整性；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（四）应急预案的完整性；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（五）临时接管条件的完整性；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（六）协议双方全过程履行协议情况；</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（七）其他需要评估的相关内容。</w:t>
      </w:r>
    </w:p>
    <w:p>
      <w:pPr>
        <w:adjustRightInd w:val="0"/>
        <w:snapToGrid w:val="0"/>
        <w:spacing w:line="640" w:lineRule="atLeast"/>
        <w:ind w:firstLine="615"/>
        <w:rPr>
          <w:rFonts w:ascii="仿宋_GB2312" w:eastAsia="仿宋_GB2312" w:cs="Times New Roman"/>
          <w:kern w:val="0"/>
          <w:sz w:val="32"/>
          <w:szCs w:val="32"/>
        </w:rPr>
      </w:pPr>
      <w:r>
        <w:rPr>
          <w:rFonts w:hint="eastAsia" w:ascii="黑体" w:hAnsi="黑体" w:eastAsia="黑体" w:cs="黑体"/>
          <w:kern w:val="0"/>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企业</w:t>
      </w:r>
      <w:r>
        <w:rPr>
          <w:rFonts w:hint="eastAsia" w:ascii="仿宋_GB2312" w:eastAsia="仿宋_GB2312" w:cs="仿宋_GB2312"/>
          <w:kern w:val="0"/>
          <w:sz w:val="32"/>
          <w:szCs w:val="32"/>
        </w:rPr>
        <w:t>经营情况评估内容：</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（一）协议履行能力及供应保障能力；</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（二）规划符合性；</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（三）安全投入、生产管理及应急能力；</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（四）服务质量和用户投诉受理；</w:t>
      </w:r>
    </w:p>
    <w:p>
      <w:pPr>
        <w:adjustRightInd w:val="0"/>
        <w:snapToGrid w:val="0"/>
        <w:spacing w:line="640" w:lineRule="atLeast"/>
        <w:ind w:firstLine="615"/>
        <w:rPr>
          <w:rFonts w:ascii="仿宋_GB2312" w:eastAsia="仿宋_GB2312" w:cs="Times New Roman"/>
          <w:kern w:val="0"/>
          <w:sz w:val="32"/>
          <w:szCs w:val="32"/>
        </w:rPr>
      </w:pPr>
      <w:r>
        <w:rPr>
          <w:rFonts w:hint="eastAsia" w:ascii="仿宋_GB2312" w:eastAsia="仿宋_GB2312" w:cs="仿宋_GB2312"/>
          <w:kern w:val="0"/>
          <w:sz w:val="32"/>
          <w:szCs w:val="32"/>
        </w:rPr>
        <w:t>（五）其他需要评估的相关内容。</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评估方式</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kern w:val="0"/>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市（州）、县（市、区）燃气主管部门可以委托具有相应能力的第三方机构或组织专家开展特许经营评估工作，编制评估报告。</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kern w:val="0"/>
          <w:sz w:val="32"/>
          <w:szCs w:val="32"/>
        </w:rPr>
        <w:t>第十条</w:t>
      </w:r>
      <w:r>
        <w:rPr>
          <w:rFonts w:ascii="黑体" w:hAnsi="黑体" w:eastAsia="黑体" w:cs="黑体"/>
          <w:kern w:val="0"/>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管道燃气特许经营企业应依法做好特许经营评估的相关工作，提供评估所需相关资料，配合做好评估的现场查验。</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kern w:val="0"/>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评估报告编制完成后，开展评估的单位应</w:t>
      </w:r>
      <w:r>
        <w:rPr>
          <w:rFonts w:hint="eastAsia" w:ascii="仿宋_GB2312" w:eastAsia="仿宋_GB2312" w:cs="仿宋_GB2312"/>
          <w:sz w:val="32"/>
          <w:szCs w:val="32"/>
          <w:lang w:eastAsia="zh-CN"/>
        </w:rPr>
        <w:t>组织</w:t>
      </w:r>
      <w:r>
        <w:rPr>
          <w:rFonts w:hint="eastAsia" w:ascii="仿宋_GB2312" w:eastAsia="仿宋_GB2312" w:cs="仿宋_GB2312"/>
          <w:sz w:val="32"/>
          <w:szCs w:val="32"/>
        </w:rPr>
        <w:t>对评估程序及评估报告的完整性合法性进行评审，开展评估的单位应结合评估报告做出“通过”或“不通过”的复核意见。复核意见为“不通过”的，对相关问题进行整改后，重新进行评估。</w:t>
      </w:r>
    </w:p>
    <w:p>
      <w:pPr>
        <w:adjustRightInd w:val="0"/>
        <w:snapToGrid w:val="0"/>
        <w:spacing w:line="640" w:lineRule="atLeast"/>
        <w:ind w:firstLine="615"/>
        <w:rPr>
          <w:rFonts w:ascii="仿宋_GB2312" w:eastAsia="仿宋_GB2312" w:cs="Times New Roman"/>
          <w:spacing w:val="-8"/>
          <w:kern w:val="0"/>
          <w:sz w:val="32"/>
          <w:szCs w:val="32"/>
        </w:rPr>
      </w:pPr>
      <w:r>
        <w:rPr>
          <w:rFonts w:hint="eastAsia" w:ascii="黑体" w:hAnsi="黑体" w:eastAsia="黑体" w:cs="黑体"/>
          <w:kern w:val="0"/>
          <w:sz w:val="32"/>
          <w:szCs w:val="32"/>
        </w:rPr>
        <w:t>第十二条</w:t>
      </w:r>
      <w:r>
        <w:rPr>
          <w:rFonts w:ascii="仿宋_GB2312" w:eastAsia="仿宋_GB2312" w:cs="仿宋_GB2312"/>
          <w:sz w:val="32"/>
          <w:szCs w:val="32"/>
        </w:rPr>
        <w:t xml:space="preserve">  </w:t>
      </w:r>
      <w:r>
        <w:rPr>
          <w:rFonts w:hint="eastAsia" w:ascii="仿宋_GB2312" w:eastAsia="仿宋_GB2312" w:cs="仿宋_GB2312"/>
          <w:spacing w:val="-8"/>
          <w:sz w:val="32"/>
          <w:szCs w:val="32"/>
        </w:rPr>
        <w:t>评估报告</w:t>
      </w:r>
      <w:r>
        <w:rPr>
          <w:rFonts w:hint="eastAsia" w:ascii="仿宋_GB2312" w:eastAsia="仿宋_GB2312" w:cs="仿宋_GB2312"/>
          <w:spacing w:val="-8"/>
          <w:kern w:val="0"/>
          <w:sz w:val="32"/>
          <w:szCs w:val="32"/>
        </w:rPr>
        <w:t>评审完成后，应在</w:t>
      </w:r>
      <w:r>
        <w:rPr>
          <w:rFonts w:hint="eastAsia" w:ascii="仿宋_GB2312" w:eastAsia="仿宋_GB2312" w:cs="仿宋_GB2312"/>
          <w:color w:val="000000"/>
          <w:spacing w:val="-8"/>
          <w:sz w:val="32"/>
          <w:szCs w:val="32"/>
        </w:rPr>
        <w:t>官方</w:t>
      </w:r>
      <w:r>
        <w:rPr>
          <w:rFonts w:hint="eastAsia" w:ascii="仿宋_GB2312" w:eastAsia="仿宋_GB2312" w:cs="仿宋_GB2312"/>
          <w:spacing w:val="-8"/>
          <w:kern w:val="0"/>
          <w:sz w:val="32"/>
          <w:szCs w:val="32"/>
        </w:rPr>
        <w:t>网站公开公示，时间不少于</w:t>
      </w:r>
      <w:r>
        <w:rPr>
          <w:rFonts w:ascii="仿宋_GB2312" w:hAnsi="仿宋_GB2312" w:eastAsia="仿宋_GB2312" w:cs="仿宋_GB2312"/>
          <w:spacing w:val="-8"/>
          <w:kern w:val="0"/>
          <w:sz w:val="32"/>
          <w:szCs w:val="32"/>
        </w:rPr>
        <w:t>5</w:t>
      </w:r>
      <w:r>
        <w:rPr>
          <w:rFonts w:hint="eastAsia" w:ascii="仿宋_GB2312" w:eastAsia="仿宋_GB2312" w:cs="仿宋_GB2312"/>
          <w:spacing w:val="-8"/>
          <w:kern w:val="0"/>
          <w:sz w:val="32"/>
          <w:szCs w:val="32"/>
        </w:rPr>
        <w:t>个工作日。</w:t>
      </w:r>
    </w:p>
    <w:p>
      <w:pPr>
        <w:adjustRightInd w:val="0"/>
        <w:snapToGrid w:val="0"/>
        <w:spacing w:line="640" w:lineRule="atLeast"/>
        <w:ind w:firstLine="615"/>
        <w:rPr>
          <w:rFonts w:ascii="仿宋_GB2312" w:eastAsia="仿宋_GB2312" w:cs="Times New Roman"/>
          <w:b/>
          <w:bCs/>
          <w:sz w:val="32"/>
          <w:szCs w:val="32"/>
        </w:rPr>
      </w:pPr>
      <w:r>
        <w:rPr>
          <w:rFonts w:hint="eastAsia" w:ascii="仿宋_GB2312" w:eastAsia="仿宋_GB2312" w:cs="仿宋_GB2312"/>
          <w:kern w:val="0"/>
          <w:sz w:val="32"/>
          <w:szCs w:val="32"/>
        </w:rPr>
        <w:t>公示期间，对评估报告有异议的，可向评估提出书</w:t>
      </w:r>
      <w:r>
        <w:rPr>
          <w:rFonts w:hint="eastAsia" w:ascii="仿宋_GB2312" w:eastAsia="仿宋_GB2312" w:cs="仿宋_GB2312"/>
          <w:spacing w:val="-2"/>
          <w:kern w:val="0"/>
          <w:sz w:val="32"/>
          <w:szCs w:val="32"/>
        </w:rPr>
        <w:t>面意见，开展评估的单位应及时受理并书面回复处理意见。公示结束后将评估结果书面告知</w:t>
      </w:r>
      <w:r>
        <w:rPr>
          <w:rFonts w:hint="eastAsia" w:ascii="仿宋_GB2312" w:eastAsia="仿宋_GB2312" w:cs="仿宋_GB2312"/>
          <w:spacing w:val="-2"/>
          <w:sz w:val="32"/>
          <w:szCs w:val="32"/>
        </w:rPr>
        <w:t>管道燃气特许经营企业</w:t>
      </w:r>
      <w:r>
        <w:rPr>
          <w:rFonts w:hint="eastAsia" w:ascii="仿宋_GB2312" w:eastAsia="仿宋_GB2312" w:cs="仿宋_GB2312"/>
          <w:spacing w:val="-2"/>
          <w:kern w:val="0"/>
          <w:sz w:val="32"/>
          <w:szCs w:val="32"/>
        </w:rPr>
        <w:t>。</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评估管理</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sz w:val="32"/>
          <w:szCs w:val="32"/>
        </w:rPr>
        <w:t>第十三条</w:t>
      </w:r>
      <w:r>
        <w:rPr>
          <w:rFonts w:ascii="仿宋_GB2312" w:eastAsia="仿宋_GB2312" w:cs="仿宋_GB2312"/>
          <w:kern w:val="0"/>
          <w:sz w:val="32"/>
          <w:szCs w:val="32"/>
        </w:rPr>
        <w:t xml:space="preserve">  </w:t>
      </w:r>
      <w:r>
        <w:rPr>
          <w:rFonts w:hint="eastAsia" w:ascii="仿宋_GB2312" w:eastAsia="仿宋_GB2312" w:cs="仿宋_GB2312"/>
          <w:sz w:val="32"/>
          <w:szCs w:val="32"/>
        </w:rPr>
        <w:t>企业经营情况评估结果分为合格、不合格两个档次。</w:t>
      </w:r>
      <w:bookmarkStart w:id="0" w:name="OLE_LINK3"/>
      <w:bookmarkStart w:id="1" w:name="OLE_LINK1"/>
      <w:r>
        <w:rPr>
          <w:rFonts w:ascii="仿宋_GB2312" w:eastAsia="仿宋_GB2312" w:cs="仿宋_GB2312"/>
          <w:kern w:val="0"/>
          <w:sz w:val="32"/>
          <w:szCs w:val="32"/>
        </w:rPr>
        <w:t>75</w:t>
      </w:r>
      <w:bookmarkEnd w:id="0"/>
      <w:r>
        <w:rPr>
          <w:rFonts w:hint="eastAsia" w:ascii="仿宋_GB2312" w:eastAsia="仿宋_GB2312" w:cs="仿宋_GB2312"/>
          <w:kern w:val="0"/>
          <w:sz w:val="32"/>
          <w:szCs w:val="32"/>
        </w:rPr>
        <w:t>分</w:t>
      </w:r>
      <w:bookmarkEnd w:id="1"/>
      <w:r>
        <w:rPr>
          <w:rFonts w:hint="eastAsia" w:ascii="仿宋_GB2312" w:eastAsia="仿宋_GB2312" w:cs="仿宋_GB2312"/>
          <w:kern w:val="0"/>
          <w:sz w:val="32"/>
          <w:szCs w:val="32"/>
        </w:rPr>
        <w:t>及以上为“合格”，</w:t>
      </w:r>
      <w:r>
        <w:rPr>
          <w:rFonts w:ascii="仿宋_GB2312" w:eastAsia="仿宋_GB2312" w:cs="仿宋_GB2312"/>
          <w:kern w:val="0"/>
          <w:sz w:val="32"/>
          <w:szCs w:val="32"/>
        </w:rPr>
        <w:t>75</w:t>
      </w:r>
      <w:r>
        <w:rPr>
          <w:rFonts w:hint="eastAsia" w:ascii="仿宋_GB2312" w:eastAsia="仿宋_GB2312" w:cs="仿宋_GB2312"/>
          <w:kern w:val="0"/>
          <w:sz w:val="32"/>
          <w:szCs w:val="32"/>
        </w:rPr>
        <w:t>分以</w:t>
      </w:r>
      <w:r>
        <w:rPr>
          <w:rFonts w:hint="eastAsia" w:ascii="仿宋_GB2312" w:eastAsia="仿宋_GB2312" w:cs="仿宋_GB2312"/>
          <w:sz w:val="32"/>
          <w:szCs w:val="32"/>
        </w:rPr>
        <w:t>下为“不合格”。</w:t>
      </w:r>
    </w:p>
    <w:p>
      <w:pPr>
        <w:adjustRightInd w:val="0"/>
        <w:snapToGrid w:val="0"/>
        <w:spacing w:line="640" w:lineRule="atLeast"/>
        <w:ind w:firstLine="615"/>
        <w:rPr>
          <w:rFonts w:ascii="仿宋_GB2312" w:eastAsia="仿宋_GB2312" w:cs="Times New Roman"/>
          <w:sz w:val="32"/>
          <w:szCs w:val="32"/>
        </w:rPr>
      </w:pPr>
      <w:r>
        <w:rPr>
          <w:rFonts w:hint="eastAsia" w:ascii="仿宋_GB2312" w:eastAsia="仿宋_GB2312" w:cs="仿宋_GB2312"/>
          <w:sz w:val="32"/>
          <w:szCs w:val="32"/>
        </w:rPr>
        <w:t>评估分值依照《甘肃省管道燃气特许经营评估评分标准》（见附件）进行。</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企业经营情况评估结果为“合格”</w:t>
      </w:r>
      <w:r>
        <w:rPr>
          <w:rFonts w:hint="eastAsia" w:ascii="仿宋_GB2312" w:eastAsia="仿宋_GB2312" w:cs="仿宋_GB2312"/>
          <w:kern w:val="0"/>
          <w:sz w:val="32"/>
          <w:szCs w:val="32"/>
        </w:rPr>
        <w:t>（</w:t>
      </w:r>
      <w:r>
        <w:rPr>
          <w:rFonts w:ascii="仿宋_GB2312" w:eastAsia="仿宋_GB2312" w:cs="仿宋_GB2312"/>
          <w:kern w:val="0"/>
          <w:sz w:val="32"/>
          <w:szCs w:val="32"/>
        </w:rPr>
        <w:t>75</w:t>
      </w:r>
      <w:r>
        <w:rPr>
          <w:rFonts w:hint="eastAsia" w:ascii="仿宋_GB2312" w:eastAsia="仿宋_GB2312" w:cs="仿宋_GB2312"/>
          <w:kern w:val="0"/>
          <w:sz w:val="32"/>
          <w:szCs w:val="32"/>
        </w:rPr>
        <w:t>分及以上）的，管道燃气特许经营企业应按照评估意见对存在问题进行整改，并在</w:t>
      </w:r>
      <w:r>
        <w:rPr>
          <w:rFonts w:ascii="仿宋_GB2312" w:eastAsia="仿宋_GB2312" w:cs="仿宋_GB2312"/>
          <w:kern w:val="0"/>
          <w:sz w:val="32"/>
          <w:szCs w:val="32"/>
        </w:rPr>
        <w:t>1</w:t>
      </w:r>
      <w:r>
        <w:rPr>
          <w:rFonts w:hint="eastAsia" w:ascii="仿宋_GB2312" w:eastAsia="仿宋_GB2312" w:cs="仿宋_GB2312"/>
          <w:kern w:val="0"/>
          <w:sz w:val="32"/>
          <w:szCs w:val="32"/>
        </w:rPr>
        <w:t>个月内将整改情况报开展评估的单位备案，开展评估的单位可视情对整改情况进行核查。评估结果为“不合格”（</w:t>
      </w:r>
      <w:bookmarkStart w:id="2" w:name="OLE_LINK4"/>
      <w:r>
        <w:rPr>
          <w:rFonts w:ascii="仿宋_GB2312" w:eastAsia="仿宋_GB2312" w:cs="仿宋_GB2312"/>
          <w:kern w:val="0"/>
          <w:sz w:val="32"/>
          <w:szCs w:val="32"/>
        </w:rPr>
        <w:t>75</w:t>
      </w:r>
      <w:bookmarkEnd w:id="2"/>
      <w:r>
        <w:rPr>
          <w:rFonts w:hint="eastAsia" w:ascii="仿宋_GB2312" w:eastAsia="仿宋_GB2312" w:cs="仿宋_GB2312"/>
          <w:kern w:val="0"/>
          <w:sz w:val="32"/>
          <w:szCs w:val="32"/>
        </w:rPr>
        <w:t>分以下）的，应按照评估意见对存在问题进行整改，并在</w:t>
      </w:r>
      <w:r>
        <w:rPr>
          <w:rFonts w:ascii="仿宋_GB2312" w:eastAsia="仿宋_GB2312" w:cs="仿宋_GB2312"/>
          <w:kern w:val="0"/>
          <w:sz w:val="32"/>
          <w:szCs w:val="32"/>
        </w:rPr>
        <w:t>3</w:t>
      </w:r>
      <w:r>
        <w:rPr>
          <w:rFonts w:hint="eastAsia" w:ascii="仿宋_GB2312" w:eastAsia="仿宋_GB2312" w:cs="仿宋_GB2312"/>
          <w:kern w:val="0"/>
          <w:sz w:val="32"/>
          <w:szCs w:val="32"/>
        </w:rPr>
        <w:t>个月内将整改情况报开展评估的单位，</w:t>
      </w:r>
      <w:r>
        <w:rPr>
          <w:rFonts w:hint="eastAsia" w:ascii="仿宋_GB2312" w:eastAsia="仿宋_GB2312" w:cs="仿宋_GB2312"/>
          <w:sz w:val="32"/>
          <w:szCs w:val="32"/>
        </w:rPr>
        <w:t>开展评估的单位应根据整改情况，重新组织评估。</w:t>
      </w:r>
    </w:p>
    <w:p>
      <w:pPr>
        <w:adjustRightInd w:val="0"/>
        <w:snapToGrid w:val="0"/>
        <w:spacing w:line="640" w:lineRule="atLeast"/>
        <w:ind w:firstLine="615"/>
        <w:rPr>
          <w:rFonts w:ascii="仿宋_GB2312" w:eastAsia="仿宋_GB2312" w:cs="Times New Roman"/>
          <w:sz w:val="32"/>
          <w:szCs w:val="32"/>
        </w:rPr>
      </w:pPr>
      <w:r>
        <w:rPr>
          <w:rFonts w:hint="eastAsia" w:ascii="黑体" w:hAnsi="黑体" w:eastAsia="黑体" w:cs="黑体"/>
          <w:sz w:val="32"/>
          <w:szCs w:val="32"/>
        </w:rPr>
        <w:t>第十五条</w:t>
      </w:r>
      <w:r>
        <w:rPr>
          <w:rFonts w:ascii="仿宋_GB2312" w:eastAsia="仿宋_GB2312" w:cs="仿宋_GB2312"/>
          <w:b/>
          <w:bCs/>
          <w:sz w:val="32"/>
          <w:szCs w:val="32"/>
        </w:rPr>
        <w:t xml:space="preserve">  </w:t>
      </w:r>
      <w:r>
        <w:rPr>
          <w:rFonts w:hint="eastAsia" w:ascii="仿宋_GB2312" w:eastAsia="仿宋_GB2312" w:cs="仿宋_GB2312"/>
          <w:sz w:val="32"/>
          <w:szCs w:val="32"/>
        </w:rPr>
        <w:t>管道燃气特许经营企业有下列情形之一的，</w:t>
      </w:r>
      <w:r>
        <w:rPr>
          <w:rFonts w:hint="eastAsia" w:ascii="仿宋_GB2312" w:eastAsia="仿宋_GB2312" w:cs="仿宋_GB2312"/>
          <w:kern w:val="0"/>
          <w:sz w:val="32"/>
          <w:szCs w:val="32"/>
        </w:rPr>
        <w:t>市（州）、（县、区、市）</w:t>
      </w:r>
      <w:r>
        <w:rPr>
          <w:rFonts w:hint="eastAsia" w:ascii="仿宋_GB2312" w:eastAsia="仿宋_GB2312" w:cs="仿宋_GB2312"/>
          <w:spacing w:val="-8"/>
          <w:kern w:val="0"/>
          <w:sz w:val="32"/>
          <w:szCs w:val="32"/>
        </w:rPr>
        <w:t>人民政府</w:t>
      </w:r>
      <w:r>
        <w:rPr>
          <w:rFonts w:hint="eastAsia" w:ascii="仿宋_GB2312" w:eastAsia="仿宋_GB2312" w:cs="仿宋_GB2312"/>
          <w:color w:val="000000"/>
          <w:spacing w:val="-8"/>
          <w:sz w:val="32"/>
          <w:szCs w:val="32"/>
        </w:rPr>
        <w:t>、</w:t>
      </w:r>
      <w:r>
        <w:rPr>
          <w:rFonts w:hint="eastAsia" w:ascii="仿宋_GB2312" w:eastAsia="仿宋_GB2312" w:cs="仿宋_GB2312"/>
          <w:color w:val="000000"/>
          <w:sz w:val="32"/>
          <w:szCs w:val="32"/>
        </w:rPr>
        <w:t>甘肃矿区办事处、兰州新区管委</w:t>
      </w:r>
      <w:r>
        <w:rPr>
          <w:rFonts w:hint="eastAsia" w:ascii="仿宋_GB2312" w:eastAsia="仿宋_GB2312" w:cs="仿宋_GB2312"/>
          <w:kern w:val="0"/>
          <w:sz w:val="32"/>
          <w:szCs w:val="32"/>
        </w:rPr>
        <w:t>可以依法终止特许经营协议，取消其特许经营权，并可以实施临时接管：</w:t>
      </w:r>
    </w:p>
    <w:p>
      <w:pPr>
        <w:pStyle w:val="10"/>
        <w:widowControl w:val="0"/>
        <w:snapToGrid w:val="0"/>
        <w:spacing w:before="0" w:beforeAutospacing="0" w:after="0" w:afterAutospacing="0" w:line="640" w:lineRule="atLeast"/>
        <w:ind w:firstLine="630"/>
        <w:jc w:val="both"/>
        <w:rPr>
          <w:rFonts w:ascii="仿宋_GB2312" w:hAnsi="Calibri" w:eastAsia="仿宋_GB2312" w:cs="Times New Roman"/>
          <w:sz w:val="32"/>
          <w:szCs w:val="32"/>
        </w:rPr>
      </w:pPr>
      <w:r>
        <w:rPr>
          <w:rFonts w:hint="eastAsia" w:ascii="仿宋_GB2312" w:hAnsi="Calibri" w:eastAsia="仿宋_GB2312" w:cs="仿宋_GB2312"/>
          <w:sz w:val="32"/>
          <w:szCs w:val="32"/>
        </w:rPr>
        <w:t>（一）擅自转让、出租、质押特许经营权的；</w:t>
      </w:r>
    </w:p>
    <w:p>
      <w:pPr>
        <w:pStyle w:val="10"/>
        <w:widowControl w:val="0"/>
        <w:snapToGrid w:val="0"/>
        <w:spacing w:before="0" w:beforeAutospacing="0" w:after="0" w:afterAutospacing="0" w:line="640" w:lineRule="atLeast"/>
        <w:ind w:firstLine="630"/>
        <w:jc w:val="both"/>
        <w:rPr>
          <w:rFonts w:ascii="仿宋_GB2312" w:hAnsi="Calibri" w:eastAsia="仿宋_GB2312" w:cs="Times New Roman"/>
          <w:sz w:val="32"/>
          <w:szCs w:val="32"/>
        </w:rPr>
      </w:pPr>
      <w:r>
        <w:rPr>
          <w:rFonts w:hint="eastAsia" w:ascii="仿宋_GB2312" w:hAnsi="Calibri" w:eastAsia="仿宋_GB2312" w:cs="仿宋_GB2312"/>
          <w:sz w:val="32"/>
          <w:szCs w:val="32"/>
        </w:rPr>
        <w:t>（二）存在重大事故隐患且拒不整改或者整改不到位的；</w:t>
      </w:r>
    </w:p>
    <w:p>
      <w:pPr>
        <w:pStyle w:val="10"/>
        <w:widowControl w:val="0"/>
        <w:snapToGrid w:val="0"/>
        <w:spacing w:before="0" w:beforeAutospacing="0" w:after="0" w:afterAutospacing="0" w:line="640" w:lineRule="atLeast"/>
        <w:ind w:firstLine="630"/>
        <w:jc w:val="both"/>
        <w:rPr>
          <w:rFonts w:ascii="仿宋_GB2312" w:hAnsi="Calibri" w:eastAsia="仿宋_GB2312" w:cs="Times New Roman"/>
          <w:sz w:val="32"/>
          <w:szCs w:val="32"/>
        </w:rPr>
      </w:pPr>
      <w:r>
        <w:rPr>
          <w:rFonts w:hint="eastAsia" w:ascii="仿宋_GB2312" w:hAnsi="Calibri" w:eastAsia="仿宋_GB2312" w:cs="仿宋_GB2312"/>
          <w:sz w:val="32"/>
          <w:szCs w:val="32"/>
        </w:rPr>
        <w:t>（三）因管理不善，发生重大质量事故、生产安全事故的；</w:t>
      </w:r>
    </w:p>
    <w:p>
      <w:pPr>
        <w:pStyle w:val="10"/>
        <w:widowControl w:val="0"/>
        <w:snapToGrid w:val="0"/>
        <w:spacing w:before="0" w:beforeAutospacing="0" w:after="0" w:afterAutospacing="0" w:line="640" w:lineRule="atLeast"/>
        <w:ind w:firstLine="630"/>
        <w:jc w:val="both"/>
        <w:rPr>
          <w:rFonts w:ascii="仿宋_GB2312" w:hAnsi="Calibri" w:eastAsia="仿宋_GB2312" w:cs="Times New Roman"/>
          <w:sz w:val="32"/>
          <w:szCs w:val="32"/>
        </w:rPr>
      </w:pPr>
      <w:r>
        <w:rPr>
          <w:rFonts w:hint="eastAsia" w:ascii="仿宋_GB2312" w:hAnsi="Calibri" w:eastAsia="仿宋_GB2312" w:cs="仿宋_GB2312"/>
          <w:sz w:val="32"/>
          <w:szCs w:val="32"/>
        </w:rPr>
        <w:t>（四）擅自停业、歇业，严重影响到公共利益和公共安全的；</w:t>
      </w:r>
    </w:p>
    <w:p>
      <w:pPr>
        <w:pStyle w:val="10"/>
        <w:widowControl w:val="0"/>
        <w:snapToGrid w:val="0"/>
        <w:spacing w:before="0" w:beforeAutospacing="0" w:after="0" w:afterAutospacing="0" w:line="640" w:lineRule="atLeast"/>
        <w:ind w:firstLine="630"/>
        <w:jc w:val="both"/>
        <w:rPr>
          <w:rFonts w:ascii="仿宋_GB2312" w:hAnsi="Calibri" w:eastAsia="仿宋_GB2312" w:cs="Times New Roman"/>
          <w:sz w:val="32"/>
          <w:szCs w:val="32"/>
        </w:rPr>
      </w:pPr>
      <w:r>
        <w:rPr>
          <w:rFonts w:hint="eastAsia" w:ascii="仿宋_GB2312" w:hAnsi="Calibri" w:eastAsia="仿宋_GB2312" w:cs="仿宋_GB2312"/>
          <w:sz w:val="32"/>
          <w:szCs w:val="32"/>
        </w:rPr>
        <w:t>（五）法律法规规定和特许经营协议约定应当终止的其他情形。</w:t>
      </w:r>
    </w:p>
    <w:p>
      <w:pPr>
        <w:adjustRightInd w:val="0"/>
        <w:snapToGrid w:val="0"/>
        <w:spacing w:line="640" w:lineRule="atLeast"/>
        <w:rPr>
          <w:rFonts w:ascii="仿宋_GB2312" w:eastAsia="仿宋_GB2312" w:cs="Times New Roman"/>
          <w:kern w:val="32"/>
          <w:sz w:val="32"/>
          <w:szCs w:val="32"/>
        </w:rPr>
      </w:pPr>
      <w:r>
        <w:rPr>
          <w:rFonts w:ascii="仿宋_GB2312" w:eastAsia="仿宋_GB2312" w:cs="仿宋_GB2312"/>
          <w:kern w:val="0"/>
          <w:sz w:val="32"/>
          <w:szCs w:val="32"/>
        </w:rPr>
        <w:t xml:space="preserve">   </w:t>
      </w:r>
      <w:r>
        <w:rPr>
          <w:rFonts w:ascii="仿宋_GB2312" w:eastAsia="仿宋_GB2312" w:cs="仿宋_GB2312"/>
          <w:kern w:val="32"/>
          <w:sz w:val="32"/>
          <w:szCs w:val="32"/>
        </w:rPr>
        <w:t xml:space="preserve"> </w:t>
      </w:r>
      <w:r>
        <w:rPr>
          <w:rFonts w:hint="eastAsia" w:ascii="仿宋_GB2312" w:eastAsia="仿宋_GB2312" w:cs="仿宋_GB2312"/>
          <w:kern w:val="32"/>
          <w:sz w:val="32"/>
          <w:szCs w:val="32"/>
        </w:rPr>
        <w:t>确需临时接管的，应按照有关法律法规进行，并召开听证会。临时接管部门应当在举行听证会的</w:t>
      </w:r>
      <w:r>
        <w:rPr>
          <w:rFonts w:ascii="仿宋_GB2312" w:eastAsia="仿宋_GB2312" w:cs="仿宋_GB2312"/>
          <w:kern w:val="0"/>
          <w:sz w:val="32"/>
          <w:szCs w:val="32"/>
        </w:rPr>
        <w:t>7</w:t>
      </w:r>
      <w:r>
        <w:rPr>
          <w:rFonts w:hint="eastAsia" w:ascii="仿宋_GB2312" w:eastAsia="仿宋_GB2312" w:cs="仿宋_GB2312"/>
          <w:kern w:val="32"/>
          <w:sz w:val="32"/>
          <w:szCs w:val="32"/>
        </w:rPr>
        <w:t>日前，书面通知管道燃气特许经营企业及利害关系人听证会的时间、地点，同时对外发布公告，公告应当载明听证会的时间、地点、参加人员等内容。</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eastAsia="仿宋_GB2312" w:cs="仿宋_GB2312"/>
          <w:kern w:val="0"/>
          <w:sz w:val="32"/>
          <w:szCs w:val="32"/>
        </w:rPr>
        <w:t>市（州）、（县、区、市）人民政府燃气主管部门应启动临时接管预案，依法选取临时接管单位，并签订临时接管协议。临时接管期限最长为</w:t>
      </w:r>
      <w:r>
        <w:rPr>
          <w:rFonts w:ascii="仿宋_GB2312" w:eastAsia="仿宋_GB2312" w:cs="仿宋_GB2312"/>
          <w:kern w:val="0"/>
          <w:sz w:val="32"/>
          <w:szCs w:val="32"/>
        </w:rPr>
        <w:t>6</w:t>
      </w:r>
      <w:r>
        <w:rPr>
          <w:rFonts w:hint="eastAsia" w:ascii="仿宋_GB2312" w:eastAsia="仿宋_GB2312" w:cs="仿宋_GB2312"/>
          <w:kern w:val="0"/>
          <w:sz w:val="32"/>
          <w:szCs w:val="32"/>
        </w:rPr>
        <w:t>个月，特殊情况下可延长至</w:t>
      </w:r>
      <w:r>
        <w:rPr>
          <w:rFonts w:ascii="仿宋_GB2312" w:eastAsia="仿宋_GB2312" w:cs="仿宋_GB2312"/>
          <w:kern w:val="0"/>
          <w:sz w:val="32"/>
          <w:szCs w:val="32"/>
        </w:rPr>
        <w:t>12</w:t>
      </w:r>
      <w:r>
        <w:rPr>
          <w:rFonts w:hint="eastAsia" w:ascii="仿宋_GB2312" w:eastAsia="仿宋_GB2312" w:cs="仿宋_GB2312"/>
          <w:kern w:val="0"/>
          <w:sz w:val="32"/>
          <w:szCs w:val="32"/>
        </w:rPr>
        <w:t>个月。</w:t>
      </w:r>
    </w:p>
    <w:p>
      <w:pPr>
        <w:adjustRightInd w:val="0"/>
        <w:snapToGrid w:val="0"/>
        <w:spacing w:line="640" w:lineRule="atLeast"/>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临时接管单位应当制定临时接管工作方案，保证管道燃气服务的连续性和稳定性，并经开展评估的单位评估审查通过后实施。</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法律责任</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b/>
          <w:bCs/>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对</w:t>
      </w:r>
      <w:r>
        <w:rPr>
          <w:rFonts w:hint="eastAsia" w:ascii="仿宋_GB2312" w:eastAsia="仿宋_GB2312" w:cs="仿宋_GB2312"/>
          <w:kern w:val="0"/>
          <w:sz w:val="32"/>
          <w:szCs w:val="32"/>
        </w:rPr>
        <w:t>特许经营授予主体不合法的，应当依照《基础设施和公用事业特许经营管理办法》《市政公用事业特许经营管理办法》等有关法律法规妥善处理纠正，拒不整改纠正或整改纠正不到位的，应当依法追究相关部门及人员的责任。</w:t>
      </w:r>
    </w:p>
    <w:p>
      <w:pPr>
        <w:adjustRightInd w:val="0"/>
        <w:snapToGrid w:val="0"/>
        <w:spacing w:line="640" w:lineRule="atLeast"/>
        <w:rPr>
          <w:rFonts w:ascii="仿宋_GB2312" w:eastAsia="仿宋_GB2312" w:cs="Times New Roman"/>
          <w:sz w:val="32"/>
          <w:szCs w:val="32"/>
        </w:rPr>
      </w:pPr>
      <w:r>
        <w:rPr>
          <w:rFonts w:ascii="仿宋_GB2312" w:eastAsia="仿宋_GB2312" w:cs="仿宋_GB2312"/>
          <w:b/>
          <w:bCs/>
          <w:sz w:val="32"/>
          <w:szCs w:val="32"/>
        </w:rPr>
        <w:t xml:space="preserve">    </w:t>
      </w:r>
      <w:r>
        <w:rPr>
          <w:rFonts w:hint="eastAsia" w:ascii="黑体" w:hAnsi="黑体" w:eastAsia="黑体" w:cs="黑体"/>
          <w:sz w:val="32"/>
          <w:szCs w:val="32"/>
        </w:rPr>
        <w:t>第十七条</w:t>
      </w:r>
      <w:r>
        <w:rPr>
          <w:rFonts w:ascii="黑体" w:hAnsi="黑体" w:eastAsia="黑体" w:cs="黑体"/>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kern w:val="0"/>
          <w:sz w:val="32"/>
          <w:szCs w:val="32"/>
        </w:rPr>
        <w:t>对评估过程中发现的违法违规行为，应当移交有关部门依法依规予以纠正或限期整改；对应当给予行政处罚的，及时移交有关部门依法依规给予处罚；对阻碍评估工作或临时接管工作的单位和个人，构成违反治安管理行为的，由公安机关依法予以处罚。</w:t>
      </w:r>
    </w:p>
    <w:p>
      <w:pPr>
        <w:adjustRightInd w:val="0"/>
        <w:snapToGrid w:val="0"/>
        <w:spacing w:line="640" w:lineRule="atLeast"/>
        <w:rPr>
          <w:rFonts w:ascii="仿宋_GB2312" w:eastAsia="仿宋_GB2312" w:cs="仿宋_GB2312"/>
          <w:spacing w:val="-4"/>
          <w:kern w:val="0"/>
          <w:sz w:val="32"/>
          <w:szCs w:val="32"/>
        </w:rPr>
      </w:pPr>
      <w:r>
        <w:rPr>
          <w:rFonts w:ascii="仿宋_GB2312" w:eastAsia="仿宋_GB2312" w:cs="仿宋_GB2312"/>
          <w:b/>
          <w:bCs/>
          <w:spacing w:val="-4"/>
          <w:kern w:val="0"/>
          <w:sz w:val="32"/>
          <w:szCs w:val="32"/>
        </w:rPr>
        <w:t xml:space="preserve">    </w:t>
      </w:r>
      <w:r>
        <w:rPr>
          <w:rFonts w:hint="eastAsia" w:ascii="黑体" w:hAnsi="黑体" w:eastAsia="黑体" w:cs="黑体"/>
          <w:sz w:val="32"/>
          <w:szCs w:val="32"/>
        </w:rPr>
        <w:t>第十八条</w:t>
      </w:r>
      <w:r>
        <w:rPr>
          <w:rFonts w:ascii="仿宋_GB2312" w:eastAsia="仿宋_GB2312" w:cs="仿宋_GB2312"/>
          <w:spacing w:val="-4"/>
          <w:kern w:val="0"/>
          <w:sz w:val="32"/>
          <w:szCs w:val="32"/>
        </w:rPr>
        <w:t xml:space="preserve">  </w:t>
      </w:r>
      <w:r>
        <w:rPr>
          <w:rFonts w:hint="eastAsia" w:ascii="仿宋_GB2312" w:eastAsia="仿宋_GB2312" w:cs="仿宋_GB2312"/>
          <w:spacing w:val="-4"/>
          <w:kern w:val="0"/>
          <w:sz w:val="32"/>
          <w:szCs w:val="32"/>
        </w:rPr>
        <w:t>对不按照规定要求实施评估或临时接管工作，造成安全责任事故或者群体性事件的，依法追究相关部门及人员责任。</w:t>
      </w:r>
      <w:r>
        <w:rPr>
          <w:rFonts w:ascii="仿宋_GB2312" w:eastAsia="仿宋_GB2312" w:cs="仿宋_GB2312"/>
          <w:spacing w:val="-4"/>
          <w:kern w:val="0"/>
          <w:sz w:val="32"/>
          <w:szCs w:val="32"/>
        </w:rPr>
        <w:t xml:space="preserve"> </w:t>
      </w:r>
    </w:p>
    <w:p>
      <w:pPr>
        <w:adjustRightInd w:val="0"/>
        <w:snapToGrid w:val="0"/>
        <w:spacing w:line="640" w:lineRule="atLeast"/>
        <w:jc w:val="center"/>
        <w:rPr>
          <w:rFonts w:ascii="黑体" w:hAnsi="黑体" w:eastAsia="黑体" w:cs="Times New Roman"/>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b/>
          <w:bCs/>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kern w:val="0"/>
          <w:sz w:val="32"/>
          <w:szCs w:val="32"/>
        </w:rPr>
        <w:t>至少每</w:t>
      </w:r>
      <w:r>
        <w:rPr>
          <w:rFonts w:ascii="仿宋_GB2312" w:eastAsia="仿宋_GB2312" w:cs="仿宋_GB2312"/>
          <w:kern w:val="0"/>
          <w:sz w:val="32"/>
          <w:szCs w:val="32"/>
        </w:rPr>
        <w:t>2</w:t>
      </w:r>
      <w:r>
        <w:rPr>
          <w:rFonts w:hint="eastAsia" w:ascii="仿宋_GB2312" w:eastAsia="仿宋_GB2312" w:cs="仿宋_GB2312"/>
          <w:kern w:val="0"/>
          <w:sz w:val="32"/>
          <w:szCs w:val="32"/>
        </w:rPr>
        <w:t>年组织一次特许经营中期评估，特殊情况下可以实施年度评估，建立</w:t>
      </w:r>
      <w:r>
        <w:rPr>
          <w:rFonts w:hint="eastAsia" w:ascii="仿宋_GB2312" w:eastAsia="仿宋_GB2312" w:cs="仿宋_GB2312"/>
          <w:sz w:val="32"/>
          <w:szCs w:val="32"/>
        </w:rPr>
        <w:t>管道燃气特许经营企业</w:t>
      </w:r>
      <w:r>
        <w:rPr>
          <w:rFonts w:hint="eastAsia" w:ascii="仿宋_GB2312" w:eastAsia="仿宋_GB2312" w:cs="仿宋_GB2312"/>
          <w:kern w:val="0"/>
          <w:sz w:val="32"/>
          <w:szCs w:val="32"/>
        </w:rPr>
        <w:t>评估档案。</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b/>
          <w:bCs/>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kern w:val="0"/>
          <w:sz w:val="32"/>
          <w:szCs w:val="32"/>
        </w:rPr>
        <w:t>管道燃气特许经营涉及国家安全审查的，按照国家有关规定执行。</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b/>
          <w:bCs/>
          <w:sz w:val="32"/>
          <w:szCs w:val="32"/>
        </w:rPr>
        <w:t xml:space="preserve">    </w:t>
      </w:r>
      <w:r>
        <w:rPr>
          <w:rFonts w:hint="eastAsia" w:ascii="黑体" w:hAnsi="黑体" w:eastAsia="黑体" w:cs="黑体"/>
          <w:sz w:val="32"/>
          <w:szCs w:val="32"/>
        </w:rPr>
        <w:t>第二十一条</w:t>
      </w:r>
      <w:r>
        <w:rPr>
          <w:rFonts w:ascii="黑体" w:hAnsi="黑体" w:eastAsia="黑体" w:cs="黑体"/>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kern w:val="0"/>
          <w:sz w:val="32"/>
          <w:szCs w:val="32"/>
        </w:rPr>
        <w:t>本办法由甘肃省住房和城乡建设厅负责解释。</w:t>
      </w:r>
    </w:p>
    <w:p>
      <w:pPr>
        <w:adjustRightInd w:val="0"/>
        <w:snapToGrid w:val="0"/>
        <w:spacing w:line="640" w:lineRule="atLeast"/>
        <w:rPr>
          <w:rFonts w:ascii="仿宋_GB2312" w:eastAsia="仿宋_GB2312" w:cs="Times New Roman"/>
          <w:kern w:val="0"/>
          <w:sz w:val="32"/>
          <w:szCs w:val="32"/>
        </w:rPr>
      </w:pPr>
      <w:r>
        <w:rPr>
          <w:rFonts w:ascii="仿宋_GB2312" w:eastAsia="仿宋_GB2312" w:cs="仿宋_GB2312"/>
          <w:b/>
          <w:bCs/>
          <w:sz w:val="32"/>
          <w:szCs w:val="32"/>
        </w:rPr>
        <w:t xml:space="preserve">    </w:t>
      </w:r>
      <w:r>
        <w:rPr>
          <w:rFonts w:hint="eastAsia" w:ascii="黑体" w:hAnsi="黑体" w:eastAsia="黑体" w:cs="黑体"/>
          <w:sz w:val="32"/>
          <w:szCs w:val="32"/>
        </w:rPr>
        <w:t>第二十二条</w:t>
      </w:r>
      <w:r>
        <w:rPr>
          <w:rFonts w:ascii="黑体" w:hAns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kern w:val="0"/>
          <w:sz w:val="32"/>
          <w:szCs w:val="32"/>
        </w:rPr>
        <w:t>本办法自印发之日起施行。</w:t>
      </w:r>
    </w:p>
    <w:p>
      <w:pPr>
        <w:adjustRightInd w:val="0"/>
        <w:snapToGrid w:val="0"/>
        <w:spacing w:line="640" w:lineRule="atLeast"/>
        <w:ind w:firstLine="618" w:firstLineChars="200"/>
        <w:rPr>
          <w:rFonts w:ascii="仿宋_GB2312" w:eastAsia="仿宋_GB2312" w:cs="Times New Roman"/>
          <w:kern w:val="0"/>
          <w:sz w:val="32"/>
          <w:szCs w:val="32"/>
        </w:rPr>
      </w:pPr>
    </w:p>
    <w:p>
      <w:pPr>
        <w:adjustRightInd w:val="0"/>
        <w:snapToGrid w:val="0"/>
        <w:spacing w:line="640" w:lineRule="atLeast"/>
        <w:ind w:firstLine="618" w:firstLineChars="200"/>
        <w:rPr>
          <w:rFonts w:ascii="仿宋_GB2312" w:eastAsia="仿宋_GB2312" w:cs="Times New Roman"/>
          <w:sz w:val="32"/>
          <w:szCs w:val="32"/>
        </w:rPr>
      </w:pPr>
      <w:r>
        <w:rPr>
          <w:rFonts w:hint="eastAsia" w:ascii="仿宋_GB2312" w:eastAsia="仿宋_GB2312" w:cs="仿宋_GB2312"/>
          <w:kern w:val="0"/>
          <w:sz w:val="32"/>
          <w:szCs w:val="32"/>
        </w:rPr>
        <w:t>附件：甘肃省管道燃气特许经营评估评分标准</w:t>
      </w:r>
      <w:r>
        <w:rPr>
          <w:rFonts w:ascii="仿宋_GB2312" w:eastAsia="仿宋_GB2312" w:cs="仿宋_GB2312"/>
          <w:kern w:val="0"/>
          <w:sz w:val="32"/>
          <w:szCs w:val="32"/>
        </w:rPr>
        <w:t xml:space="preserve"> </w:t>
      </w:r>
    </w:p>
    <w:p>
      <w:pPr>
        <w:widowControl/>
        <w:spacing w:line="600" w:lineRule="exact"/>
        <w:jc w:val="left"/>
        <w:rPr>
          <w:rFonts w:eastAsia="仿宋_GB2312" w:cs="Times New Roman"/>
          <w:kern w:val="0"/>
          <w:sz w:val="30"/>
          <w:szCs w:val="30"/>
        </w:rPr>
        <w:sectPr>
          <w:footerReference r:id="rId3" w:type="default"/>
          <w:footerReference r:id="rId4" w:type="even"/>
          <w:pgSz w:w="11906" w:h="16838"/>
          <w:pgMar w:top="1928" w:right="1531" w:bottom="1758" w:left="1588" w:header="851" w:footer="1503" w:gutter="0"/>
          <w:pgNumType w:fmt="numberInDash"/>
          <w:cols w:space="720" w:num="1"/>
          <w:docGrid w:type="linesAndChars" w:linePitch="287" w:charSpace="-2374"/>
        </w:sectPr>
      </w:pPr>
    </w:p>
    <w:p>
      <w:pPr>
        <w:snapToGrid w:val="0"/>
        <w:spacing w:line="540" w:lineRule="atLeast"/>
        <w:rPr>
          <w:rFonts w:hAnsi="黑体" w:eastAsia="黑体" w:cs="Times New Roman"/>
          <w:sz w:val="32"/>
          <w:szCs w:val="32"/>
        </w:rPr>
      </w:pPr>
      <w:r>
        <w:rPr>
          <w:rFonts w:hint="eastAsia" w:hAnsi="黑体" w:eastAsia="黑体" w:cs="黑体"/>
          <w:sz w:val="32"/>
          <w:szCs w:val="32"/>
        </w:rPr>
        <w:t>附件</w:t>
      </w:r>
    </w:p>
    <w:p>
      <w:pPr>
        <w:pStyle w:val="2"/>
        <w:snapToGrid w:val="0"/>
        <w:spacing w:after="0" w:line="540" w:lineRule="atLeast"/>
        <w:rPr>
          <w:rFonts w:cs="Times New Roman"/>
        </w:rPr>
      </w:pPr>
    </w:p>
    <w:p>
      <w:pPr>
        <w:snapToGrid w:val="0"/>
        <w:spacing w:line="540" w:lineRule="atLeast"/>
        <w:jc w:val="center"/>
        <w:rPr>
          <w:rFonts w:eastAsia="方正小标宋简体" w:cs="Times New Roman"/>
          <w:sz w:val="44"/>
          <w:szCs w:val="44"/>
        </w:rPr>
      </w:pPr>
      <w:r>
        <w:rPr>
          <w:rFonts w:hint="eastAsia" w:eastAsia="方正小标宋简体" w:cs="方正小标宋简体"/>
          <w:sz w:val="44"/>
          <w:szCs w:val="44"/>
        </w:rPr>
        <w:t>甘肃省管道燃气特许经营评估评分标准</w:t>
      </w:r>
    </w:p>
    <w:tbl>
      <w:tblPr>
        <w:tblStyle w:val="12"/>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218"/>
        <w:gridCol w:w="1373"/>
        <w:gridCol w:w="847"/>
        <w:gridCol w:w="822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blHeader/>
          <w:jc w:val="center"/>
        </w:trPr>
        <w:tc>
          <w:tcPr>
            <w:tcW w:w="753" w:type="dxa"/>
            <w:vAlign w:val="center"/>
          </w:tcPr>
          <w:p>
            <w:pPr>
              <w:widowControl/>
              <w:snapToGrid w:val="0"/>
              <w:spacing w:line="240" w:lineRule="atLeast"/>
              <w:jc w:val="center"/>
              <w:textAlignment w:val="center"/>
              <w:rPr>
                <w:rFonts w:eastAsia="黑体" w:cs="Times New Roman"/>
                <w:kern w:val="0"/>
              </w:rPr>
            </w:pPr>
            <w:r>
              <w:rPr>
                <w:rFonts w:hint="eastAsia" w:hAnsi="黑体" w:eastAsia="黑体" w:cs="黑体"/>
                <w:kern w:val="0"/>
              </w:rPr>
              <w:t>序号</w:t>
            </w:r>
          </w:p>
        </w:tc>
        <w:tc>
          <w:tcPr>
            <w:tcW w:w="2218" w:type="dxa"/>
            <w:vAlign w:val="center"/>
          </w:tcPr>
          <w:p>
            <w:pPr>
              <w:widowControl/>
              <w:snapToGrid w:val="0"/>
              <w:spacing w:line="240" w:lineRule="atLeast"/>
              <w:jc w:val="center"/>
              <w:textAlignment w:val="center"/>
              <w:rPr>
                <w:rFonts w:eastAsia="黑体" w:cs="Times New Roman"/>
                <w:kern w:val="0"/>
              </w:rPr>
            </w:pPr>
            <w:r>
              <w:rPr>
                <w:rFonts w:hint="eastAsia" w:hAnsi="黑体" w:eastAsia="黑体" w:cs="黑体"/>
                <w:kern w:val="0"/>
              </w:rPr>
              <w:t>评估项目</w:t>
            </w:r>
          </w:p>
        </w:tc>
        <w:tc>
          <w:tcPr>
            <w:tcW w:w="1373" w:type="dxa"/>
            <w:vAlign w:val="center"/>
          </w:tcPr>
          <w:p>
            <w:pPr>
              <w:widowControl/>
              <w:snapToGrid w:val="0"/>
              <w:spacing w:line="240" w:lineRule="atLeast"/>
              <w:jc w:val="center"/>
              <w:textAlignment w:val="center"/>
              <w:rPr>
                <w:rFonts w:eastAsia="黑体" w:cs="Times New Roman"/>
                <w:kern w:val="0"/>
              </w:rPr>
            </w:pPr>
            <w:r>
              <w:rPr>
                <w:rFonts w:hint="eastAsia" w:hAnsi="黑体" w:eastAsia="黑体" w:cs="黑体"/>
                <w:kern w:val="0"/>
              </w:rPr>
              <w:t>考评内容</w:t>
            </w:r>
          </w:p>
        </w:tc>
        <w:tc>
          <w:tcPr>
            <w:tcW w:w="847" w:type="dxa"/>
            <w:vAlign w:val="center"/>
          </w:tcPr>
          <w:p>
            <w:pPr>
              <w:widowControl/>
              <w:snapToGrid w:val="0"/>
              <w:spacing w:line="240" w:lineRule="atLeast"/>
              <w:jc w:val="center"/>
              <w:textAlignment w:val="center"/>
              <w:rPr>
                <w:rFonts w:eastAsia="黑体" w:cs="Times New Roman"/>
                <w:kern w:val="0"/>
              </w:rPr>
            </w:pPr>
            <w:r>
              <w:rPr>
                <w:rFonts w:hint="eastAsia" w:hAnsi="黑体" w:eastAsia="黑体" w:cs="黑体"/>
                <w:kern w:val="0"/>
              </w:rPr>
              <w:t>标准</w:t>
            </w:r>
          </w:p>
          <w:p>
            <w:pPr>
              <w:widowControl/>
              <w:snapToGrid w:val="0"/>
              <w:spacing w:line="240" w:lineRule="atLeast"/>
              <w:jc w:val="center"/>
              <w:textAlignment w:val="center"/>
              <w:rPr>
                <w:rFonts w:eastAsia="黑体" w:cs="Times New Roman"/>
                <w:kern w:val="0"/>
              </w:rPr>
            </w:pPr>
            <w:r>
              <w:rPr>
                <w:rFonts w:hint="eastAsia" w:hAnsi="黑体" w:eastAsia="黑体" w:cs="黑体"/>
                <w:kern w:val="0"/>
              </w:rPr>
              <w:t>分值</w:t>
            </w:r>
          </w:p>
        </w:tc>
        <w:tc>
          <w:tcPr>
            <w:tcW w:w="8220" w:type="dxa"/>
            <w:vAlign w:val="center"/>
          </w:tcPr>
          <w:p>
            <w:pPr>
              <w:widowControl/>
              <w:snapToGrid w:val="0"/>
              <w:spacing w:line="240" w:lineRule="atLeast"/>
              <w:jc w:val="center"/>
              <w:textAlignment w:val="center"/>
              <w:rPr>
                <w:rFonts w:eastAsia="黑体" w:cs="Times New Roman"/>
              </w:rPr>
            </w:pPr>
            <w:r>
              <w:rPr>
                <w:rFonts w:hint="eastAsia" w:hAnsi="黑体" w:eastAsia="黑体" w:cs="黑体"/>
                <w:kern w:val="0"/>
              </w:rPr>
              <w:t>考</w:t>
            </w:r>
            <w:r>
              <w:rPr>
                <w:rFonts w:hAnsi="黑体" w:eastAsia="黑体"/>
                <w:kern w:val="0"/>
              </w:rPr>
              <w:t xml:space="preserve">  </w:t>
            </w:r>
            <w:r>
              <w:rPr>
                <w:rFonts w:hint="eastAsia" w:hAnsi="黑体" w:eastAsia="黑体" w:cs="黑体"/>
                <w:kern w:val="0"/>
              </w:rPr>
              <w:t>评</w:t>
            </w:r>
            <w:r>
              <w:rPr>
                <w:rFonts w:hAnsi="黑体" w:eastAsia="黑体"/>
                <w:kern w:val="0"/>
              </w:rPr>
              <w:t xml:space="preserve">  </w:t>
            </w:r>
            <w:r>
              <w:rPr>
                <w:rFonts w:hint="eastAsia" w:hAnsi="黑体" w:eastAsia="黑体" w:cs="黑体"/>
                <w:kern w:val="0"/>
              </w:rPr>
              <w:t>办</w:t>
            </w:r>
            <w:r>
              <w:rPr>
                <w:rFonts w:hAnsi="黑体" w:eastAsia="黑体"/>
                <w:kern w:val="0"/>
              </w:rPr>
              <w:t xml:space="preserve">  </w:t>
            </w:r>
            <w:r>
              <w:rPr>
                <w:rFonts w:hint="eastAsia" w:hAnsi="黑体" w:eastAsia="黑体" w:cs="黑体"/>
                <w:kern w:val="0"/>
              </w:rPr>
              <w:t>法</w:t>
            </w:r>
          </w:p>
        </w:tc>
        <w:tc>
          <w:tcPr>
            <w:tcW w:w="1340" w:type="dxa"/>
            <w:vAlign w:val="center"/>
          </w:tcPr>
          <w:p>
            <w:pPr>
              <w:widowControl/>
              <w:snapToGrid w:val="0"/>
              <w:spacing w:line="240" w:lineRule="atLeast"/>
              <w:jc w:val="center"/>
              <w:textAlignment w:val="center"/>
              <w:rPr>
                <w:rFonts w:eastAsia="黑体" w:cs="Times New Roman"/>
              </w:rPr>
            </w:pPr>
            <w:r>
              <w:rPr>
                <w:rFonts w:hint="eastAsia" w:hAnsi="黑体" w:eastAsia="黑体" w:cs="黑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53" w:type="dxa"/>
            <w:vAlign w:val="center"/>
          </w:tcPr>
          <w:p>
            <w:pPr>
              <w:widowControl/>
              <w:snapToGrid w:val="0"/>
              <w:spacing w:line="240" w:lineRule="atLeast"/>
              <w:jc w:val="center"/>
              <w:textAlignment w:val="center"/>
              <w:rPr>
                <w:rFonts w:ascii="宋体" w:cs="宋体"/>
                <w:kern w:val="0"/>
              </w:rPr>
            </w:pPr>
            <w:r>
              <w:rPr>
                <w:rFonts w:ascii="宋体" w:hAnsi="宋体" w:cs="宋体"/>
                <w:kern w:val="0"/>
              </w:rPr>
              <w:t>1</w:t>
            </w:r>
          </w:p>
        </w:tc>
        <w:tc>
          <w:tcPr>
            <w:tcW w:w="2218" w:type="dxa"/>
            <w:vMerge w:val="restart"/>
            <w:vAlign w:val="center"/>
          </w:tcPr>
          <w:p>
            <w:pPr>
              <w:widowControl/>
              <w:snapToGrid w:val="0"/>
              <w:spacing w:line="240" w:lineRule="atLeast"/>
              <w:jc w:val="center"/>
              <w:textAlignment w:val="center"/>
              <w:rPr>
                <w:rFonts w:ascii="宋体" w:cs="宋体"/>
                <w:kern w:val="0"/>
              </w:rPr>
            </w:pPr>
            <w:r>
              <w:rPr>
                <w:rFonts w:hint="eastAsia" w:ascii="宋体" w:hAnsi="宋体" w:cs="宋体"/>
                <w:kern w:val="0"/>
              </w:rPr>
              <w:t>一、协议履行及供应保障能力（</w:t>
            </w:r>
            <w:r>
              <w:rPr>
                <w:rFonts w:ascii="宋体" w:hAnsi="宋体" w:cs="宋体"/>
                <w:kern w:val="0"/>
              </w:rPr>
              <w:t>17</w:t>
            </w:r>
            <w:r>
              <w:rPr>
                <w:rFonts w:hint="eastAsia" w:ascii="宋体" w:hAnsi="宋体" w:cs="宋体"/>
                <w:kern w:val="0"/>
              </w:rPr>
              <w:t>分）</w:t>
            </w:r>
          </w:p>
        </w:tc>
        <w:tc>
          <w:tcPr>
            <w:tcW w:w="1373" w:type="dxa"/>
            <w:vAlign w:val="center"/>
          </w:tcPr>
          <w:p>
            <w:pPr>
              <w:widowControl/>
              <w:snapToGrid w:val="0"/>
              <w:spacing w:line="240" w:lineRule="atLeast"/>
              <w:jc w:val="center"/>
              <w:textAlignment w:val="center"/>
              <w:rPr>
                <w:rFonts w:ascii="宋体" w:cs="宋体"/>
                <w:kern w:val="0"/>
              </w:rPr>
            </w:pPr>
            <w:r>
              <w:rPr>
                <w:rFonts w:hint="eastAsia" w:ascii="宋体" w:hAnsi="宋体" w:cs="宋体"/>
                <w:kern w:val="0"/>
              </w:rPr>
              <w:t>气源站</w:t>
            </w:r>
          </w:p>
        </w:tc>
        <w:tc>
          <w:tcPr>
            <w:tcW w:w="847" w:type="dxa"/>
            <w:vAlign w:val="center"/>
          </w:tcPr>
          <w:p>
            <w:pPr>
              <w:widowControl/>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widowControl/>
              <w:snapToGrid w:val="0"/>
              <w:spacing w:line="240" w:lineRule="atLeast"/>
              <w:jc w:val="left"/>
              <w:textAlignment w:val="center"/>
              <w:rPr>
                <w:rFonts w:ascii="宋体" w:cs="宋体"/>
              </w:rPr>
            </w:pPr>
            <w:r>
              <w:rPr>
                <w:rFonts w:hint="eastAsia" w:ascii="宋体" w:hAnsi="宋体" w:cs="宋体"/>
                <w:kern w:val="0"/>
              </w:rPr>
              <w:t>具有城镇燃气门站或储配站的，得</w:t>
            </w:r>
            <w:r>
              <w:rPr>
                <w:rFonts w:ascii="宋体" w:hAnsi="宋体" w:cs="宋体"/>
                <w:kern w:val="0"/>
              </w:rPr>
              <w:t>1</w:t>
            </w:r>
            <w:r>
              <w:rPr>
                <w:rFonts w:hint="eastAsia" w:ascii="宋体" w:hAnsi="宋体" w:cs="宋体"/>
                <w:kern w:val="0"/>
              </w:rPr>
              <w:t>分。每增加</w:t>
            </w:r>
            <w:r>
              <w:rPr>
                <w:rFonts w:ascii="宋体" w:hAnsi="宋体" w:cs="宋体"/>
                <w:kern w:val="0"/>
              </w:rPr>
              <w:t>1</w:t>
            </w:r>
            <w:r>
              <w:rPr>
                <w:rFonts w:hint="eastAsia" w:ascii="宋体" w:hAnsi="宋体" w:cs="宋体"/>
                <w:kern w:val="0"/>
              </w:rPr>
              <w:t>座得</w:t>
            </w:r>
            <w:r>
              <w:rPr>
                <w:rFonts w:ascii="宋体" w:hAnsi="宋体" w:cs="宋体"/>
                <w:kern w:val="0"/>
              </w:rPr>
              <w:t>0.5</w:t>
            </w:r>
            <w:r>
              <w:rPr>
                <w:rFonts w:hint="eastAsia" w:ascii="宋体" w:hAnsi="宋体" w:cs="宋体"/>
                <w:kern w:val="0"/>
              </w:rPr>
              <w:t>分，最高得</w:t>
            </w:r>
            <w:r>
              <w:rPr>
                <w:rFonts w:ascii="宋体" w:hAnsi="宋体" w:cs="宋体"/>
                <w:kern w:val="0"/>
              </w:rPr>
              <w:t>2</w:t>
            </w:r>
            <w:r>
              <w:rPr>
                <w:rFonts w:hint="eastAsia" w:ascii="宋体" w:hAnsi="宋体" w:cs="宋体"/>
                <w:kern w:val="0"/>
              </w:rPr>
              <w:t>分。城市周边仅有单气源的，具有</w:t>
            </w:r>
            <w:r>
              <w:rPr>
                <w:rFonts w:ascii="宋体" w:hAnsi="宋体" w:cs="宋体"/>
                <w:kern w:val="0"/>
              </w:rPr>
              <w:t>1</w:t>
            </w:r>
            <w:r>
              <w:rPr>
                <w:rFonts w:hint="eastAsia" w:ascii="宋体" w:hAnsi="宋体" w:cs="宋体"/>
                <w:kern w:val="0"/>
              </w:rPr>
              <w:t>座城镇燃气门站或储配站可得</w:t>
            </w:r>
            <w:r>
              <w:rPr>
                <w:rFonts w:ascii="宋体" w:hAnsi="宋体" w:cs="宋体"/>
                <w:kern w:val="0"/>
              </w:rPr>
              <w:t>2</w:t>
            </w:r>
            <w:r>
              <w:rPr>
                <w:rFonts w:hint="eastAsia" w:ascii="宋体" w:hAnsi="宋体" w:cs="宋体"/>
                <w:kern w:val="0"/>
              </w:rPr>
              <w:t>分。</w:t>
            </w:r>
            <w:r>
              <w:rPr>
                <w:rFonts w:ascii="宋体" w:cs="宋体"/>
                <w:kern w:val="0"/>
              </w:rPr>
              <w:br w:type="textWrapping"/>
            </w:r>
            <w:r>
              <w:rPr>
                <w:rFonts w:hint="eastAsia" w:ascii="宋体" w:hAnsi="宋体" w:cs="宋体"/>
                <w:kern w:val="0"/>
              </w:rPr>
              <w:t>注：门站或储配站之后的调压站、计量站等不计入该项考评内容；未按基本建设程序办理有关审批、验收手续的场站不计分；</w:t>
            </w:r>
            <w:r>
              <w:rPr>
                <w:rFonts w:ascii="宋体" w:hAnsi="宋体" w:cs="宋体"/>
                <w:kern w:val="0"/>
              </w:rPr>
              <w:t>1</w:t>
            </w:r>
            <w:r>
              <w:rPr>
                <w:rFonts w:hint="eastAsia" w:ascii="宋体" w:hAnsi="宋体" w:cs="宋体"/>
                <w:kern w:val="0"/>
              </w:rPr>
              <w:t>个场站同时具备管输和非管输气源，按</w:t>
            </w:r>
            <w:r>
              <w:rPr>
                <w:rFonts w:ascii="宋体" w:hAnsi="宋体" w:cs="宋体"/>
                <w:kern w:val="0"/>
              </w:rPr>
              <w:t>2</w:t>
            </w:r>
            <w:r>
              <w:rPr>
                <w:rFonts w:hint="eastAsia" w:ascii="宋体" w:hAnsi="宋体" w:cs="宋体"/>
                <w:kern w:val="0"/>
              </w:rPr>
              <w:t>座气源站计分；瓶组供应站不计分。</w:t>
            </w:r>
          </w:p>
        </w:tc>
        <w:tc>
          <w:tcPr>
            <w:tcW w:w="1340" w:type="dxa"/>
            <w:vAlign w:val="center"/>
          </w:tcPr>
          <w:p>
            <w:pPr>
              <w:widowControl/>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7" w:hRule="atLeast"/>
          <w:jc w:val="center"/>
        </w:trPr>
        <w:tc>
          <w:tcPr>
            <w:tcW w:w="753" w:type="dxa"/>
            <w:vAlign w:val="center"/>
          </w:tcPr>
          <w:p>
            <w:pPr>
              <w:snapToGrid w:val="0"/>
              <w:spacing w:line="240" w:lineRule="atLeast"/>
              <w:jc w:val="center"/>
              <w:textAlignment w:val="center"/>
              <w:rPr>
                <w:rFonts w:ascii="宋体" w:cs="宋体"/>
                <w:kern w:val="0"/>
              </w:rPr>
            </w:pPr>
            <w:r>
              <w:rPr>
                <w:rFonts w:ascii="宋体" w:hAnsi="宋体" w:cs="宋体"/>
                <w:kern w:val="0"/>
              </w:rPr>
              <w:t>2</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气源供应</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snapToGrid w:val="0"/>
              <w:spacing w:line="240" w:lineRule="atLeast"/>
              <w:jc w:val="left"/>
              <w:textAlignment w:val="center"/>
              <w:rPr>
                <w:rFonts w:ascii="宋体" w:cs="宋体"/>
                <w:kern w:val="0"/>
              </w:rPr>
            </w:pPr>
            <w:r>
              <w:rPr>
                <w:rFonts w:hint="eastAsia" w:ascii="宋体" w:hAnsi="宋体" w:cs="宋体"/>
                <w:kern w:val="0"/>
              </w:rPr>
              <w:t>与上游供气企业签订长期气源采购合同：</w:t>
            </w:r>
            <w:r>
              <w:rPr>
                <w:rFonts w:ascii="宋体" w:cs="宋体"/>
                <w:kern w:val="0"/>
              </w:rPr>
              <w:br w:type="textWrapping"/>
            </w:r>
            <w:r>
              <w:rPr>
                <w:rFonts w:hint="eastAsia" w:ascii="宋体" w:hAnsi="宋体" w:cs="宋体"/>
                <w:kern w:val="0"/>
              </w:rPr>
              <w:t>（</w:t>
            </w:r>
            <w:r>
              <w:rPr>
                <w:rFonts w:ascii="宋体" w:hAnsi="宋体" w:cs="宋体"/>
                <w:kern w:val="0"/>
              </w:rPr>
              <w:t>1</w:t>
            </w:r>
            <w:r>
              <w:rPr>
                <w:rFonts w:hint="eastAsia" w:ascii="宋体" w:hAnsi="宋体" w:cs="宋体"/>
                <w:kern w:val="0"/>
              </w:rPr>
              <w:t>）合同气量占年度用气量</w:t>
            </w:r>
            <w:r>
              <w:rPr>
                <w:rFonts w:ascii="宋体" w:hAnsi="宋体" w:cs="宋体"/>
                <w:kern w:val="0"/>
              </w:rPr>
              <w:t>90%</w:t>
            </w:r>
            <w:r>
              <w:rPr>
                <w:rFonts w:hint="eastAsia" w:ascii="宋体" w:hAnsi="宋体" w:cs="宋体"/>
                <w:kern w:val="0"/>
              </w:rPr>
              <w:t>（含）以上的，得</w:t>
            </w:r>
            <w:r>
              <w:rPr>
                <w:rFonts w:ascii="宋体" w:hAnsi="宋体" w:cs="宋体"/>
                <w:kern w:val="0"/>
              </w:rPr>
              <w:t>2</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）合同气量占年度用气量</w:t>
            </w:r>
            <w:r>
              <w:rPr>
                <w:rFonts w:ascii="宋体" w:hAnsi="宋体" w:cs="宋体"/>
                <w:kern w:val="0"/>
              </w:rPr>
              <w:t>60%</w:t>
            </w:r>
            <w:r>
              <w:rPr>
                <w:rFonts w:hint="eastAsia" w:ascii="宋体" w:hAnsi="宋体" w:cs="宋体"/>
                <w:kern w:val="0"/>
              </w:rPr>
              <w:t>（含）</w:t>
            </w:r>
            <w:r>
              <w:rPr>
                <w:rFonts w:ascii="宋体" w:hAnsi="宋体" w:cs="宋体"/>
                <w:kern w:val="0"/>
              </w:rPr>
              <w:t>-90%</w:t>
            </w:r>
            <w:r>
              <w:rPr>
                <w:rFonts w:hint="eastAsia" w:ascii="宋体" w:hAnsi="宋体" w:cs="宋体"/>
                <w:kern w:val="0"/>
              </w:rPr>
              <w:t>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）合同气量占年度用气量</w:t>
            </w:r>
            <w:r>
              <w:rPr>
                <w:rFonts w:ascii="宋体" w:hAnsi="宋体" w:cs="宋体"/>
                <w:kern w:val="0"/>
              </w:rPr>
              <w:t>60%</w:t>
            </w:r>
            <w:r>
              <w:rPr>
                <w:rFonts w:hint="eastAsia" w:ascii="宋体" w:hAnsi="宋体" w:cs="宋体"/>
                <w:kern w:val="0"/>
              </w:rPr>
              <w:t>以下的，不得分；</w:t>
            </w:r>
          </w:p>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4</w:t>
            </w:r>
            <w:r>
              <w:rPr>
                <w:rFonts w:hint="eastAsia" w:ascii="宋体" w:hAnsi="宋体" w:cs="宋体"/>
                <w:kern w:val="0"/>
              </w:rPr>
              <w:t>）未与上游供气企业签订长期且稳定气源合同的，不得参加特许经营评估。整改合格后，方可重新参加特许经营评估。</w:t>
            </w:r>
            <w:r>
              <w:rPr>
                <w:rFonts w:ascii="宋体" w:cs="宋体"/>
                <w:kern w:val="0"/>
              </w:rPr>
              <w:br w:type="textWrapping"/>
            </w:r>
            <w:r>
              <w:rPr>
                <w:rFonts w:hint="eastAsia" w:ascii="宋体" w:hAnsi="宋体" w:cs="宋体"/>
                <w:kern w:val="0"/>
              </w:rPr>
              <w:t>注：</w:t>
            </w:r>
            <w:r>
              <w:rPr>
                <w:rFonts w:ascii="宋体" w:hAnsi="宋体" w:cs="宋体"/>
                <w:kern w:val="0"/>
              </w:rPr>
              <w:t>a.</w:t>
            </w:r>
            <w:r>
              <w:rPr>
                <w:rFonts w:hint="eastAsia" w:ascii="宋体" w:hAnsi="宋体" w:cs="宋体"/>
                <w:kern w:val="0"/>
              </w:rPr>
              <w:t>长期气源采购合同指购气合同年限为一年及以上的合同（一年内分采暖季和非采暖季的购气也可计算在内），不包括零星采购的现货合同或短期合同。</w:t>
            </w:r>
            <w:r>
              <w:rPr>
                <w:rFonts w:ascii="宋体" w:hAnsi="宋体" w:cs="宋体"/>
                <w:kern w:val="0"/>
              </w:rPr>
              <w:t>b.</w:t>
            </w:r>
            <w:r>
              <w:rPr>
                <w:rFonts w:hint="eastAsia" w:ascii="宋体" w:hAnsi="宋体" w:cs="宋体"/>
                <w:kern w:val="0"/>
              </w:rPr>
              <w:t>上游供气企业指具有相关资质且拥有稳定可靠的国产或进口气源的企业。包括天然气生产企业、天然气进口企业、液化天然气接收站企业、天然气储气企业、天然气批发零售企业等。</w:t>
            </w:r>
          </w:p>
        </w:tc>
        <w:tc>
          <w:tcPr>
            <w:tcW w:w="1340" w:type="dxa"/>
            <w:vAlign w:val="center"/>
          </w:tcPr>
          <w:p>
            <w:pPr>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应急储气</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储气能力不低于其上一年供气量</w:t>
            </w:r>
            <w:r>
              <w:rPr>
                <w:rFonts w:ascii="宋体" w:hAnsi="宋体" w:cs="宋体"/>
                <w:kern w:val="0"/>
              </w:rPr>
              <w:t>5%</w:t>
            </w:r>
            <w:r>
              <w:rPr>
                <w:rFonts w:hint="eastAsia" w:ascii="宋体" w:hAnsi="宋体" w:cs="宋体"/>
                <w:kern w:val="0"/>
              </w:rPr>
              <w:t>，得</w:t>
            </w:r>
            <w:r>
              <w:rPr>
                <w:rFonts w:ascii="宋体" w:hAnsi="宋体" w:cs="宋体"/>
                <w:kern w:val="0"/>
              </w:rPr>
              <w:t>4</w:t>
            </w:r>
            <w:r>
              <w:rPr>
                <w:rFonts w:hint="eastAsia" w:ascii="宋体" w:hAnsi="宋体" w:cs="宋体"/>
                <w:kern w:val="0"/>
              </w:rPr>
              <w:t>分；否则不得分；</w:t>
            </w:r>
            <w:r>
              <w:rPr>
                <w:rFonts w:ascii="宋体" w:cs="宋体"/>
                <w:kern w:val="0"/>
              </w:rPr>
              <w:br w:type="textWrapping"/>
            </w:r>
            <w:r>
              <w:rPr>
                <w:rFonts w:hint="eastAsia" w:ascii="宋体" w:hAnsi="宋体" w:cs="宋体"/>
                <w:kern w:val="0"/>
              </w:rPr>
              <w:t>注：储气能力的计算要求根据</w:t>
            </w:r>
            <w:r>
              <w:rPr>
                <w:rFonts w:hint="eastAsia" w:ascii="宋体" w:cs="宋体"/>
                <w:kern w:val="0"/>
              </w:rPr>
              <w:t>“</w:t>
            </w:r>
            <w:r>
              <w:rPr>
                <w:rFonts w:hint="eastAsia" w:ascii="宋体" w:hAnsi="宋体" w:cs="宋体"/>
                <w:kern w:val="0"/>
              </w:rPr>
              <w:t>发改能源规〔</w:t>
            </w:r>
            <w:r>
              <w:rPr>
                <w:rFonts w:ascii="宋体" w:hAnsi="宋体" w:cs="宋体"/>
                <w:kern w:val="0"/>
              </w:rPr>
              <w:t>2018</w:t>
            </w:r>
            <w:r>
              <w:rPr>
                <w:rFonts w:hint="eastAsia" w:ascii="宋体" w:hAnsi="宋体" w:cs="宋体"/>
                <w:kern w:val="0"/>
              </w:rPr>
              <w:t>〕</w:t>
            </w:r>
            <w:r>
              <w:rPr>
                <w:rFonts w:ascii="宋体" w:hAnsi="宋体" w:cs="宋体"/>
                <w:kern w:val="0"/>
              </w:rPr>
              <w:t>637</w:t>
            </w:r>
            <w:r>
              <w:rPr>
                <w:rFonts w:hint="eastAsia" w:ascii="宋体" w:hAnsi="宋体" w:cs="宋体"/>
                <w:kern w:val="0"/>
              </w:rPr>
              <w:t>号</w:t>
            </w:r>
            <w:r>
              <w:rPr>
                <w:rFonts w:hint="eastAsia" w:ascii="宋体" w:cs="宋体"/>
                <w:kern w:val="0"/>
              </w:rPr>
              <w:t>”</w:t>
            </w:r>
            <w:r>
              <w:rPr>
                <w:rFonts w:hint="eastAsia" w:ascii="宋体" w:hAnsi="宋体" w:cs="宋体"/>
                <w:kern w:val="0"/>
              </w:rPr>
              <w:t>文件。包含以租赁库容及签订气源认购协议等方式获得储气能力的情况。</w:t>
            </w:r>
          </w:p>
        </w:tc>
        <w:tc>
          <w:tcPr>
            <w:tcW w:w="1340" w:type="dxa"/>
            <w:vAlign w:val="center"/>
          </w:tcPr>
          <w:p>
            <w:pPr>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2218" w:type="dxa"/>
            <w:vMerge w:val="restart"/>
            <w:vAlign w:val="center"/>
          </w:tcPr>
          <w:p>
            <w:pPr>
              <w:snapToGrid w:val="0"/>
              <w:spacing w:line="240" w:lineRule="atLeast"/>
              <w:jc w:val="center"/>
              <w:textAlignment w:val="center"/>
              <w:rPr>
                <w:rFonts w:ascii="宋体" w:cs="宋体"/>
                <w:kern w:val="0"/>
              </w:rPr>
            </w:pPr>
            <w:r>
              <w:rPr>
                <w:rFonts w:hint="eastAsia" w:ascii="宋体" w:hAnsi="宋体" w:cs="宋体"/>
                <w:kern w:val="0"/>
              </w:rPr>
              <w:t>一、协议履行及供应保障能力（</w:t>
            </w:r>
            <w:r>
              <w:rPr>
                <w:rFonts w:ascii="宋体" w:hAnsi="宋体" w:cs="宋体"/>
                <w:kern w:val="0"/>
              </w:rPr>
              <w:t>17</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调峰能力</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）承担所供市场全部小时调峰责任，得</w:t>
            </w:r>
            <w:r>
              <w:rPr>
                <w:rFonts w:ascii="宋体" w:hAnsi="宋体" w:cs="宋体"/>
                <w:kern w:val="0"/>
              </w:rPr>
              <w:t>2</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）承担所供市场</w:t>
            </w:r>
            <w:r>
              <w:rPr>
                <w:rFonts w:ascii="宋体" w:hAnsi="宋体" w:cs="宋体"/>
                <w:kern w:val="0"/>
              </w:rPr>
              <w:t>50%</w:t>
            </w:r>
            <w:r>
              <w:rPr>
                <w:rFonts w:hint="eastAsia" w:ascii="宋体" w:hAnsi="宋体" w:cs="宋体"/>
                <w:kern w:val="0"/>
              </w:rPr>
              <w:t>（含）以上小时调峰责任，得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）承担所供市场</w:t>
            </w:r>
            <w:r>
              <w:rPr>
                <w:rFonts w:ascii="宋体" w:hAnsi="宋体" w:cs="宋体"/>
                <w:kern w:val="0"/>
              </w:rPr>
              <w:t>50%</w:t>
            </w:r>
            <w:r>
              <w:rPr>
                <w:rFonts w:hint="eastAsia" w:ascii="宋体" w:hAnsi="宋体" w:cs="宋体"/>
                <w:kern w:val="0"/>
              </w:rPr>
              <w:t>以下小时调峰责任，不得分。</w:t>
            </w:r>
            <w:r>
              <w:rPr>
                <w:rFonts w:ascii="宋体" w:cs="宋体"/>
                <w:kern w:val="0"/>
              </w:rPr>
              <w:br w:type="textWrapping"/>
            </w:r>
            <w:r>
              <w:rPr>
                <w:rFonts w:hint="eastAsia" w:ascii="宋体" w:hAnsi="宋体" w:cs="宋体"/>
                <w:kern w:val="0"/>
              </w:rPr>
              <w:t>注：与供气企业签订协议购买小时调峰服务的，可计入管道燃气特许经营企业小时调峰能力。</w:t>
            </w:r>
          </w:p>
        </w:tc>
        <w:tc>
          <w:tcPr>
            <w:tcW w:w="1340" w:type="dxa"/>
            <w:vAlign w:val="center"/>
          </w:tcPr>
          <w:p>
            <w:pPr>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5</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互联互通</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）与经营区域范围外的其他燃气管网实现互联互通，得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）燃气主管网通达经营区域范围内</w:t>
            </w:r>
            <w:r>
              <w:rPr>
                <w:rFonts w:ascii="宋体" w:hAnsi="宋体" w:cs="宋体"/>
                <w:kern w:val="0"/>
              </w:rPr>
              <w:t>50%</w:t>
            </w:r>
            <w:r>
              <w:rPr>
                <w:rFonts w:hint="eastAsia" w:ascii="宋体" w:hAnsi="宋体" w:cs="宋体"/>
                <w:kern w:val="0"/>
              </w:rPr>
              <w:t>（含）以上乡镇的，得</w:t>
            </w:r>
            <w:r>
              <w:rPr>
                <w:rFonts w:ascii="宋体" w:hAnsi="宋体" w:cs="宋体"/>
                <w:kern w:val="0"/>
              </w:rPr>
              <w:t>1</w:t>
            </w:r>
            <w:r>
              <w:rPr>
                <w:rFonts w:hint="eastAsia" w:ascii="宋体" w:hAnsi="宋体" w:cs="宋体"/>
                <w:kern w:val="0"/>
              </w:rPr>
              <w:t>分；通达经营区域范围内</w:t>
            </w:r>
            <w:r>
              <w:rPr>
                <w:rFonts w:ascii="宋体" w:hAnsi="宋体" w:cs="宋体"/>
                <w:kern w:val="0"/>
              </w:rPr>
              <w:t>80%</w:t>
            </w:r>
            <w:r>
              <w:rPr>
                <w:rFonts w:hint="eastAsia" w:ascii="宋体" w:hAnsi="宋体" w:cs="宋体"/>
                <w:kern w:val="0"/>
              </w:rPr>
              <w:t>（含）以上乡镇的，得</w:t>
            </w:r>
            <w:r>
              <w:rPr>
                <w:rFonts w:ascii="宋体" w:hAnsi="宋体" w:cs="宋体"/>
                <w:kern w:val="0"/>
              </w:rPr>
              <w:t>2</w:t>
            </w:r>
            <w:r>
              <w:rPr>
                <w:rFonts w:hint="eastAsia" w:ascii="宋体" w:hAnsi="宋体" w:cs="宋体"/>
                <w:kern w:val="0"/>
              </w:rPr>
              <w:t>分。经营区域不含乡镇的，此条视为满分。</w:t>
            </w:r>
          </w:p>
        </w:tc>
        <w:tc>
          <w:tcPr>
            <w:tcW w:w="1340" w:type="dxa"/>
            <w:vAlign w:val="center"/>
          </w:tcPr>
          <w:p>
            <w:pPr>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3"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6</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市场份额</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）年供气量（</w:t>
            </w:r>
            <w:r>
              <w:rPr>
                <w:rFonts w:ascii="宋体" w:hAnsi="宋体" w:cs="宋体"/>
                <w:kern w:val="0"/>
              </w:rPr>
              <w:t>2</w:t>
            </w:r>
            <w:r>
              <w:rPr>
                <w:rFonts w:hint="eastAsia" w:ascii="宋体" w:hAnsi="宋体" w:cs="宋体"/>
                <w:kern w:val="0"/>
              </w:rPr>
              <w:t>分）</w:t>
            </w:r>
            <w:r>
              <w:rPr>
                <w:rFonts w:ascii="宋体" w:cs="宋体"/>
                <w:kern w:val="0"/>
              </w:rPr>
              <w:br w:type="textWrapping"/>
            </w:r>
            <w:r>
              <w:rPr>
                <w:rFonts w:ascii="宋体" w:hAnsi="宋体" w:cs="宋体"/>
                <w:kern w:val="0"/>
              </w:rPr>
              <w:t>1</w:t>
            </w:r>
            <w:r>
              <w:rPr>
                <w:rFonts w:hint="eastAsia" w:ascii="宋体" w:hAnsi="宋体" w:cs="宋体"/>
                <w:kern w:val="0"/>
              </w:rPr>
              <w:t>）企业年供气量占当地全部管道气年用气量</w:t>
            </w:r>
            <w:r>
              <w:rPr>
                <w:rFonts w:ascii="宋体" w:hAnsi="宋体" w:cs="宋体"/>
                <w:kern w:val="0"/>
              </w:rPr>
              <w:t>80%</w:t>
            </w:r>
            <w:r>
              <w:rPr>
                <w:rFonts w:hint="eastAsia" w:ascii="宋体" w:hAnsi="宋体" w:cs="宋体"/>
                <w:kern w:val="0"/>
              </w:rPr>
              <w:t>（含）以上的，得</w:t>
            </w:r>
            <w:r>
              <w:rPr>
                <w:rFonts w:ascii="宋体" w:hAnsi="宋体" w:cs="宋体"/>
                <w:kern w:val="0"/>
              </w:rPr>
              <w:t>2</w:t>
            </w:r>
            <w:r>
              <w:rPr>
                <w:rFonts w:hint="eastAsia" w:ascii="宋体" w:hAnsi="宋体" w:cs="宋体"/>
                <w:kern w:val="0"/>
              </w:rPr>
              <w:t>分；</w:t>
            </w:r>
            <w:r>
              <w:rPr>
                <w:rFonts w:ascii="宋体" w:cs="宋体"/>
                <w:kern w:val="0"/>
              </w:rPr>
              <w:br w:type="textWrapping"/>
            </w:r>
            <w:r>
              <w:rPr>
                <w:rFonts w:ascii="宋体" w:hAnsi="宋体" w:cs="宋体"/>
                <w:kern w:val="0"/>
              </w:rPr>
              <w:t>2</w:t>
            </w:r>
            <w:r>
              <w:rPr>
                <w:rFonts w:hint="eastAsia" w:ascii="宋体" w:hAnsi="宋体" w:cs="宋体"/>
                <w:kern w:val="0"/>
              </w:rPr>
              <w:t>）企业年供气量占当地全部管道气年用气量</w:t>
            </w:r>
            <w:r>
              <w:rPr>
                <w:rFonts w:ascii="宋体" w:hAnsi="宋体" w:cs="宋体"/>
                <w:kern w:val="0"/>
              </w:rPr>
              <w:t>50%</w:t>
            </w:r>
            <w:r>
              <w:rPr>
                <w:rFonts w:hint="eastAsia" w:ascii="宋体" w:hAnsi="宋体" w:cs="宋体"/>
                <w:kern w:val="0"/>
              </w:rPr>
              <w:t>（含）</w:t>
            </w:r>
            <w:r>
              <w:rPr>
                <w:rFonts w:ascii="宋体" w:hAnsi="宋体" w:cs="宋体"/>
                <w:kern w:val="0"/>
              </w:rPr>
              <w:t>-80%</w:t>
            </w:r>
            <w:r>
              <w:rPr>
                <w:rFonts w:hint="eastAsia" w:ascii="宋体" w:hAnsi="宋体" w:cs="宋体"/>
                <w:kern w:val="0"/>
              </w:rPr>
              <w:t>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3</w:t>
            </w:r>
            <w:r>
              <w:rPr>
                <w:rFonts w:hint="eastAsia" w:ascii="宋体" w:hAnsi="宋体" w:cs="宋体"/>
                <w:kern w:val="0"/>
              </w:rPr>
              <w:t>）企业年供气量占当地全部管道气年用气量</w:t>
            </w:r>
            <w:r>
              <w:rPr>
                <w:rFonts w:ascii="宋体" w:hAnsi="宋体" w:cs="宋体"/>
                <w:kern w:val="0"/>
              </w:rPr>
              <w:t>20%</w:t>
            </w:r>
            <w:r>
              <w:rPr>
                <w:rFonts w:hint="eastAsia" w:ascii="宋体" w:hAnsi="宋体" w:cs="宋体"/>
                <w:kern w:val="0"/>
              </w:rPr>
              <w:t>（含）</w:t>
            </w:r>
            <w:r>
              <w:rPr>
                <w:rFonts w:ascii="宋体" w:hAnsi="宋体" w:cs="宋体"/>
                <w:kern w:val="0"/>
              </w:rPr>
              <w:t>-50%</w:t>
            </w:r>
            <w:r>
              <w:rPr>
                <w:rFonts w:hint="eastAsia" w:ascii="宋体" w:hAnsi="宋体" w:cs="宋体"/>
                <w:kern w:val="0"/>
              </w:rPr>
              <w:t>的，得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ascii="宋体" w:hAnsi="宋体" w:cs="宋体"/>
                <w:kern w:val="0"/>
              </w:rPr>
              <w:t>4</w:t>
            </w:r>
            <w:r>
              <w:rPr>
                <w:rFonts w:hint="eastAsia" w:ascii="宋体" w:hAnsi="宋体" w:cs="宋体"/>
                <w:kern w:val="0"/>
              </w:rPr>
              <w:t>）企业年供气量占当地全部管道气年用气量</w:t>
            </w:r>
            <w:r>
              <w:rPr>
                <w:rFonts w:ascii="宋体" w:hAnsi="宋体" w:cs="宋体"/>
                <w:kern w:val="0"/>
              </w:rPr>
              <w:t>20%</w:t>
            </w:r>
            <w:r>
              <w:rPr>
                <w:rFonts w:hint="eastAsia" w:ascii="宋体" w:hAnsi="宋体" w:cs="宋体"/>
                <w:kern w:val="0"/>
              </w:rPr>
              <w:t>以下的，不得分。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）居民通气户数（</w:t>
            </w:r>
            <w:r>
              <w:rPr>
                <w:rFonts w:ascii="宋体" w:hAnsi="宋体" w:cs="宋体"/>
                <w:kern w:val="0"/>
              </w:rPr>
              <w:t>2</w:t>
            </w:r>
            <w:r>
              <w:rPr>
                <w:rFonts w:hint="eastAsia" w:ascii="宋体" w:hAnsi="宋体" w:cs="宋体"/>
                <w:kern w:val="0"/>
              </w:rPr>
              <w:t>分）</w:t>
            </w:r>
            <w:r>
              <w:rPr>
                <w:rFonts w:ascii="宋体" w:cs="宋体"/>
                <w:kern w:val="0"/>
              </w:rPr>
              <w:br w:type="textWrapping"/>
            </w:r>
            <w:r>
              <w:rPr>
                <w:rFonts w:ascii="宋体" w:hAnsi="宋体" w:cs="宋体"/>
                <w:kern w:val="0"/>
              </w:rPr>
              <w:t>1</w:t>
            </w:r>
            <w:r>
              <w:rPr>
                <w:rFonts w:hint="eastAsia" w:ascii="宋体" w:hAnsi="宋体" w:cs="宋体"/>
                <w:kern w:val="0"/>
              </w:rPr>
              <w:t>）占当地全部通气户数</w:t>
            </w:r>
            <w:r>
              <w:rPr>
                <w:rFonts w:ascii="宋体" w:hAnsi="宋体" w:cs="宋体"/>
                <w:kern w:val="0"/>
              </w:rPr>
              <w:t>80%</w:t>
            </w:r>
            <w:r>
              <w:rPr>
                <w:rFonts w:hint="eastAsia" w:ascii="宋体" w:hAnsi="宋体" w:cs="宋体"/>
                <w:kern w:val="0"/>
              </w:rPr>
              <w:t>（含）以上的，得</w:t>
            </w:r>
            <w:r>
              <w:rPr>
                <w:rFonts w:ascii="宋体" w:hAnsi="宋体" w:cs="宋体"/>
                <w:kern w:val="0"/>
              </w:rPr>
              <w:t>2</w:t>
            </w:r>
            <w:r>
              <w:rPr>
                <w:rFonts w:hint="eastAsia" w:ascii="宋体" w:hAnsi="宋体" w:cs="宋体"/>
                <w:kern w:val="0"/>
              </w:rPr>
              <w:t>分；</w:t>
            </w:r>
            <w:r>
              <w:rPr>
                <w:rFonts w:ascii="宋体" w:cs="宋体"/>
                <w:kern w:val="0"/>
              </w:rPr>
              <w:br w:type="textWrapping"/>
            </w:r>
            <w:r>
              <w:rPr>
                <w:rFonts w:ascii="宋体" w:hAnsi="宋体" w:cs="宋体"/>
                <w:kern w:val="0"/>
              </w:rPr>
              <w:t>2</w:t>
            </w:r>
            <w:r>
              <w:rPr>
                <w:rFonts w:hint="eastAsia" w:ascii="宋体" w:hAnsi="宋体" w:cs="宋体"/>
                <w:kern w:val="0"/>
              </w:rPr>
              <w:t>）占当地全部通气户数</w:t>
            </w:r>
            <w:r>
              <w:rPr>
                <w:rFonts w:ascii="宋体" w:hAnsi="宋体" w:cs="宋体"/>
                <w:kern w:val="0"/>
              </w:rPr>
              <w:t>50%</w:t>
            </w:r>
            <w:r>
              <w:rPr>
                <w:rFonts w:hint="eastAsia" w:ascii="宋体" w:hAnsi="宋体" w:cs="宋体"/>
                <w:kern w:val="0"/>
              </w:rPr>
              <w:t>（含）</w:t>
            </w:r>
            <w:r>
              <w:rPr>
                <w:rFonts w:ascii="宋体" w:hAnsi="宋体" w:cs="宋体"/>
                <w:kern w:val="0"/>
              </w:rPr>
              <w:t>-80%</w:t>
            </w:r>
            <w:r>
              <w:rPr>
                <w:rFonts w:hint="eastAsia" w:ascii="宋体" w:hAnsi="宋体" w:cs="宋体"/>
                <w:kern w:val="0"/>
              </w:rPr>
              <w:t>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3</w:t>
            </w:r>
            <w:r>
              <w:rPr>
                <w:rFonts w:hint="eastAsia" w:ascii="宋体" w:hAnsi="宋体" w:cs="宋体"/>
                <w:kern w:val="0"/>
              </w:rPr>
              <w:t>）占当地全部通气户数</w:t>
            </w:r>
            <w:r>
              <w:rPr>
                <w:rFonts w:ascii="宋体" w:hAnsi="宋体" w:cs="宋体"/>
                <w:kern w:val="0"/>
              </w:rPr>
              <w:t>20%</w:t>
            </w:r>
            <w:r>
              <w:rPr>
                <w:rFonts w:hint="eastAsia" w:ascii="宋体" w:hAnsi="宋体" w:cs="宋体"/>
                <w:kern w:val="0"/>
              </w:rPr>
              <w:t>（含）</w:t>
            </w:r>
            <w:r>
              <w:rPr>
                <w:rFonts w:ascii="宋体" w:hAnsi="宋体" w:cs="宋体"/>
                <w:kern w:val="0"/>
              </w:rPr>
              <w:t>-50%</w:t>
            </w:r>
            <w:r>
              <w:rPr>
                <w:rFonts w:hint="eastAsia" w:ascii="宋体" w:hAnsi="宋体" w:cs="宋体"/>
                <w:kern w:val="0"/>
              </w:rPr>
              <w:t>的，得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ascii="宋体" w:hAnsi="宋体" w:cs="宋体"/>
                <w:kern w:val="0"/>
              </w:rPr>
              <w:t>4</w:t>
            </w:r>
            <w:r>
              <w:rPr>
                <w:rFonts w:hint="eastAsia" w:ascii="宋体" w:hAnsi="宋体" w:cs="宋体"/>
                <w:kern w:val="0"/>
              </w:rPr>
              <w:t>）占当地全部通气户数</w:t>
            </w:r>
            <w:r>
              <w:rPr>
                <w:rFonts w:ascii="宋体" w:hAnsi="宋体" w:cs="宋体"/>
                <w:kern w:val="0"/>
              </w:rPr>
              <w:t>20%</w:t>
            </w:r>
            <w:r>
              <w:rPr>
                <w:rFonts w:hint="eastAsia" w:ascii="宋体" w:hAnsi="宋体" w:cs="宋体"/>
                <w:kern w:val="0"/>
              </w:rPr>
              <w:t>以下的，不得分。</w:t>
            </w:r>
            <w:r>
              <w:rPr>
                <w:rFonts w:ascii="宋体" w:cs="宋体"/>
                <w:kern w:val="0"/>
              </w:rPr>
              <w:br w:type="textWrapping"/>
            </w:r>
            <w:r>
              <w:rPr>
                <w:rFonts w:hint="eastAsia" w:ascii="宋体" w:hAnsi="宋体" w:cs="宋体"/>
                <w:kern w:val="0"/>
              </w:rPr>
              <w:t>注：</w:t>
            </w:r>
            <w:r>
              <w:rPr>
                <w:rFonts w:ascii="宋体" w:hAnsi="宋体" w:cs="宋体"/>
                <w:kern w:val="0"/>
              </w:rPr>
              <w:t>a.</w:t>
            </w:r>
            <w:r>
              <w:rPr>
                <w:rFonts w:hint="eastAsia" w:ascii="宋体" w:hAnsi="宋体" w:cs="宋体"/>
                <w:kern w:val="0"/>
              </w:rPr>
              <w:t>“当地</w:t>
            </w:r>
            <w:r>
              <w:rPr>
                <w:rFonts w:hint="eastAsia" w:ascii="宋体" w:cs="宋体"/>
                <w:kern w:val="0"/>
              </w:rPr>
              <w:t>”</w:t>
            </w:r>
            <w:r>
              <w:rPr>
                <w:rFonts w:hint="eastAsia" w:ascii="宋体" w:hAnsi="宋体" w:cs="宋体"/>
                <w:kern w:val="0"/>
              </w:rPr>
              <w:t>的区域范围为市县所辖行政区域。</w:t>
            </w:r>
            <w:r>
              <w:rPr>
                <w:rFonts w:ascii="宋体" w:hAnsi="宋体" w:cs="宋体"/>
                <w:kern w:val="0"/>
              </w:rPr>
              <w:t>b.</w:t>
            </w:r>
            <w:r>
              <w:rPr>
                <w:rFonts w:hint="eastAsia" w:ascii="宋体" w:hAnsi="宋体" w:cs="宋体"/>
                <w:kern w:val="0"/>
              </w:rPr>
              <w:t>当地全部管道气年用气量，不含用户自建气源站的用气量，不含天然气电厂、热电厂等上游直供用户的用气量。</w:t>
            </w:r>
            <w:r>
              <w:rPr>
                <w:rFonts w:ascii="宋体" w:hAnsi="宋体" w:cs="宋体"/>
                <w:kern w:val="0"/>
              </w:rPr>
              <w:t>c.</w:t>
            </w:r>
            <w:r>
              <w:rPr>
                <w:rFonts w:hint="eastAsia" w:ascii="宋体" w:hAnsi="宋体" w:cs="宋体"/>
                <w:kern w:val="0"/>
              </w:rPr>
              <w:t>企业年供气量，不含向其他城燃企业转输的气量。</w:t>
            </w:r>
          </w:p>
        </w:tc>
        <w:tc>
          <w:tcPr>
            <w:tcW w:w="1340" w:type="dxa"/>
            <w:vAlign w:val="center"/>
          </w:tcPr>
          <w:p>
            <w:pPr>
              <w:snapToGrid w:val="0"/>
              <w:spacing w:line="240" w:lineRule="atLeast"/>
              <w:jc w:val="center"/>
              <w:textAlignment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7</w:t>
            </w:r>
          </w:p>
        </w:tc>
        <w:tc>
          <w:tcPr>
            <w:tcW w:w="2218"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二、规划符合性</w:t>
            </w:r>
          </w:p>
          <w:p>
            <w:pPr>
              <w:snapToGrid w:val="0"/>
              <w:spacing w:line="240" w:lineRule="atLeast"/>
              <w:jc w:val="center"/>
              <w:textAlignment w:val="center"/>
              <w:rPr>
                <w:rFonts w:ascii="宋体" w:cs="宋体"/>
                <w:kern w:val="0"/>
              </w:rPr>
            </w:pPr>
            <w:r>
              <w:rPr>
                <w:rFonts w:hint="eastAsia" w:ascii="宋体" w:hAnsi="宋体" w:cs="宋体"/>
                <w:kern w:val="0"/>
              </w:rPr>
              <w:t>（</w:t>
            </w:r>
            <w:r>
              <w:rPr>
                <w:rFonts w:ascii="宋体" w:hAnsi="宋体" w:cs="宋体"/>
                <w:kern w:val="0"/>
              </w:rPr>
              <w:t>12</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规划符合性</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12</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）管道燃气企业发展规划和年度计划符合地方燃气专项规划和其他相关要求，得</w:t>
            </w:r>
            <w:r>
              <w:rPr>
                <w:rFonts w:ascii="宋体" w:hAnsi="宋体" w:cs="宋体"/>
                <w:kern w:val="0"/>
              </w:rPr>
              <w:t>2</w:t>
            </w:r>
            <w:r>
              <w:rPr>
                <w:rFonts w:hint="eastAsia" w:ascii="宋体" w:hAnsi="宋体" w:cs="宋体"/>
                <w:kern w:val="0"/>
              </w:rPr>
              <w:t>分；否则不得分。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）燃气场站（不含汽车加气站及偏远地区微管网独立气源站）按规划进度建设的，得</w:t>
            </w:r>
            <w:r>
              <w:rPr>
                <w:rFonts w:ascii="宋体" w:hAnsi="宋体" w:cs="宋体"/>
                <w:kern w:val="0"/>
              </w:rPr>
              <w:t>2</w:t>
            </w:r>
            <w:r>
              <w:rPr>
                <w:rFonts w:hint="eastAsia" w:ascii="宋体" w:hAnsi="宋体" w:cs="宋体"/>
                <w:kern w:val="0"/>
              </w:rPr>
              <w:t>分；每存在</w:t>
            </w:r>
            <w:r>
              <w:rPr>
                <w:rFonts w:ascii="宋体" w:hAnsi="宋体" w:cs="宋体"/>
                <w:kern w:val="0"/>
              </w:rPr>
              <w:t>1</w:t>
            </w:r>
            <w:r>
              <w:rPr>
                <w:rFonts w:hint="eastAsia" w:ascii="宋体" w:hAnsi="宋体" w:cs="宋体"/>
                <w:kern w:val="0"/>
              </w:rPr>
              <w:t>座燃气场站未按规划建设的扣</w:t>
            </w:r>
            <w:r>
              <w:rPr>
                <w:rFonts w:ascii="宋体" w:hAnsi="宋体" w:cs="宋体"/>
                <w:kern w:val="0"/>
              </w:rPr>
              <w:t>1</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）高压管道、次高压管道等按规划进度建设的，得</w:t>
            </w:r>
            <w:r>
              <w:rPr>
                <w:rFonts w:ascii="宋体" w:hAnsi="宋体" w:cs="宋体"/>
                <w:kern w:val="0"/>
              </w:rPr>
              <w:t>2</w:t>
            </w:r>
            <w:r>
              <w:rPr>
                <w:rFonts w:hint="eastAsia" w:ascii="宋体" w:hAnsi="宋体" w:cs="宋体"/>
                <w:kern w:val="0"/>
              </w:rPr>
              <w:t>分；建设进度低于规划指标</w:t>
            </w:r>
            <w:r>
              <w:rPr>
                <w:rFonts w:ascii="宋体" w:hAnsi="宋体" w:cs="宋体"/>
                <w:kern w:val="0"/>
              </w:rPr>
              <w:t>10%</w:t>
            </w:r>
            <w:r>
              <w:rPr>
                <w:rFonts w:hint="eastAsia" w:ascii="宋体" w:hAnsi="宋体" w:cs="宋体"/>
                <w:kern w:val="0"/>
              </w:rPr>
              <w:t>以下的，不扣分；建设进度低于规划指标</w:t>
            </w:r>
            <w:r>
              <w:rPr>
                <w:rFonts w:ascii="宋体" w:hAnsi="宋体" w:cs="宋体"/>
                <w:kern w:val="0"/>
              </w:rPr>
              <w:t>10%</w:t>
            </w:r>
            <w:r>
              <w:rPr>
                <w:rFonts w:hint="eastAsia" w:ascii="宋体" w:hAnsi="宋体" w:cs="宋体"/>
                <w:kern w:val="0"/>
              </w:rPr>
              <w:t>（含）</w:t>
            </w:r>
            <w:r>
              <w:rPr>
                <w:rFonts w:ascii="宋体" w:hAnsi="宋体" w:cs="宋体"/>
                <w:kern w:val="0"/>
              </w:rPr>
              <w:t>-20%</w:t>
            </w:r>
            <w:r>
              <w:rPr>
                <w:rFonts w:hint="eastAsia" w:ascii="宋体" w:hAnsi="宋体" w:cs="宋体"/>
                <w:kern w:val="0"/>
              </w:rPr>
              <w:t>的，扣</w:t>
            </w:r>
            <w:r>
              <w:rPr>
                <w:rFonts w:ascii="宋体" w:hAnsi="宋体" w:cs="宋体"/>
                <w:kern w:val="0"/>
              </w:rPr>
              <w:t>0.5</w:t>
            </w:r>
            <w:r>
              <w:rPr>
                <w:rFonts w:hint="eastAsia" w:ascii="宋体" w:hAnsi="宋体" w:cs="宋体"/>
                <w:kern w:val="0"/>
              </w:rPr>
              <w:t>分；建设进度低于规划指标</w:t>
            </w:r>
            <w:r>
              <w:rPr>
                <w:rFonts w:ascii="宋体" w:hAnsi="宋体" w:cs="宋体"/>
                <w:kern w:val="0"/>
              </w:rPr>
              <w:t>20%</w:t>
            </w:r>
            <w:r>
              <w:rPr>
                <w:rFonts w:hint="eastAsia" w:ascii="宋体" w:hAnsi="宋体" w:cs="宋体"/>
                <w:kern w:val="0"/>
              </w:rPr>
              <w:t>（含）以上的，不得分。</w:t>
            </w:r>
            <w:r>
              <w:rPr>
                <w:rFonts w:ascii="宋体" w:cs="宋体"/>
                <w:kern w:val="0"/>
              </w:rPr>
              <w:br w:type="textWrapping"/>
            </w:r>
            <w:r>
              <w:rPr>
                <w:rFonts w:hint="eastAsia" w:ascii="宋体" w:hAnsi="宋体" w:cs="宋体"/>
                <w:kern w:val="0"/>
              </w:rPr>
              <w:t>（</w:t>
            </w:r>
            <w:r>
              <w:rPr>
                <w:rFonts w:ascii="宋体" w:hAnsi="宋体" w:cs="宋体"/>
                <w:kern w:val="0"/>
              </w:rPr>
              <w:t>4</w:t>
            </w:r>
            <w:r>
              <w:rPr>
                <w:rFonts w:hint="eastAsia" w:ascii="宋体" w:hAnsi="宋体" w:cs="宋体"/>
                <w:kern w:val="0"/>
              </w:rPr>
              <w:t>）中压管道等按规划进度建设的，得</w:t>
            </w:r>
            <w:r>
              <w:rPr>
                <w:rFonts w:ascii="宋体" w:hAnsi="宋体" w:cs="宋体"/>
                <w:kern w:val="0"/>
              </w:rPr>
              <w:t>2</w:t>
            </w:r>
            <w:r>
              <w:rPr>
                <w:rFonts w:hint="eastAsia" w:ascii="宋体" w:hAnsi="宋体" w:cs="宋体"/>
                <w:kern w:val="0"/>
              </w:rPr>
              <w:t>分；建设进度低于规划指标</w:t>
            </w:r>
            <w:r>
              <w:rPr>
                <w:rFonts w:ascii="宋体" w:hAnsi="宋体" w:cs="宋体"/>
                <w:kern w:val="0"/>
              </w:rPr>
              <w:t>10%</w:t>
            </w:r>
            <w:r>
              <w:rPr>
                <w:rFonts w:hint="eastAsia" w:ascii="宋体" w:hAnsi="宋体" w:cs="宋体"/>
                <w:kern w:val="0"/>
              </w:rPr>
              <w:t>以下的，不扣分；建设进度低于规划指标</w:t>
            </w:r>
            <w:r>
              <w:rPr>
                <w:rFonts w:ascii="宋体" w:hAnsi="宋体" w:cs="宋体"/>
                <w:kern w:val="0"/>
              </w:rPr>
              <w:t>10%</w:t>
            </w:r>
            <w:r>
              <w:rPr>
                <w:rFonts w:hint="eastAsia" w:ascii="宋体" w:hAnsi="宋体" w:cs="宋体"/>
                <w:kern w:val="0"/>
              </w:rPr>
              <w:t>（含）</w:t>
            </w:r>
            <w:r>
              <w:rPr>
                <w:rFonts w:ascii="宋体" w:hAnsi="宋体" w:cs="宋体"/>
                <w:kern w:val="0"/>
              </w:rPr>
              <w:t>-20%</w:t>
            </w:r>
            <w:r>
              <w:rPr>
                <w:rFonts w:hint="eastAsia" w:ascii="宋体" w:hAnsi="宋体" w:cs="宋体"/>
                <w:kern w:val="0"/>
              </w:rPr>
              <w:t>的，扣</w:t>
            </w:r>
            <w:r>
              <w:rPr>
                <w:rFonts w:ascii="宋体" w:hAnsi="宋体" w:cs="宋体"/>
                <w:kern w:val="0"/>
              </w:rPr>
              <w:t>1</w:t>
            </w:r>
            <w:r>
              <w:rPr>
                <w:rFonts w:hint="eastAsia" w:ascii="宋体" w:hAnsi="宋体" w:cs="宋体"/>
                <w:kern w:val="0"/>
              </w:rPr>
              <w:t>分；建设进度低于规划指标</w:t>
            </w:r>
            <w:r>
              <w:rPr>
                <w:rFonts w:ascii="宋体" w:hAnsi="宋体" w:cs="宋体"/>
                <w:kern w:val="0"/>
              </w:rPr>
              <w:t>20%</w:t>
            </w:r>
            <w:r>
              <w:rPr>
                <w:rFonts w:hint="eastAsia" w:ascii="宋体" w:hAnsi="宋体" w:cs="宋体"/>
                <w:kern w:val="0"/>
              </w:rPr>
              <w:t>（含）以上的，不得分。</w:t>
            </w:r>
            <w:r>
              <w:rPr>
                <w:rFonts w:ascii="宋体" w:cs="宋体"/>
                <w:kern w:val="0"/>
              </w:rPr>
              <w:br w:type="textWrapping"/>
            </w:r>
            <w:r>
              <w:rPr>
                <w:rFonts w:hint="eastAsia" w:ascii="宋体" w:hAnsi="宋体" w:cs="宋体"/>
                <w:kern w:val="0"/>
              </w:rPr>
              <w:t>（</w:t>
            </w:r>
            <w:r>
              <w:rPr>
                <w:rFonts w:ascii="宋体" w:hAnsi="宋体" w:cs="宋体"/>
                <w:kern w:val="0"/>
              </w:rPr>
              <w:t>5</w:t>
            </w:r>
            <w:r>
              <w:rPr>
                <w:rFonts w:hint="eastAsia" w:ascii="宋体" w:hAnsi="宋体" w:cs="宋体"/>
                <w:kern w:val="0"/>
              </w:rPr>
              <w:t>）居民管道燃气气化率达到规划指标的，得</w:t>
            </w:r>
            <w:r>
              <w:rPr>
                <w:rFonts w:ascii="宋体" w:hAnsi="宋体" w:cs="宋体"/>
                <w:kern w:val="0"/>
              </w:rPr>
              <w:t>3</w:t>
            </w:r>
            <w:r>
              <w:rPr>
                <w:rFonts w:hint="eastAsia" w:ascii="宋体" w:hAnsi="宋体" w:cs="宋体"/>
                <w:kern w:val="0"/>
              </w:rPr>
              <w:t>分；低于规划指标</w:t>
            </w:r>
            <w:r>
              <w:rPr>
                <w:rFonts w:ascii="宋体" w:hAnsi="宋体" w:cs="宋体"/>
                <w:kern w:val="0"/>
              </w:rPr>
              <w:t>10%</w:t>
            </w:r>
            <w:r>
              <w:rPr>
                <w:rFonts w:hint="eastAsia" w:ascii="宋体" w:hAnsi="宋体" w:cs="宋体"/>
                <w:kern w:val="0"/>
              </w:rPr>
              <w:t>以下的，不扣分；低于规划指标</w:t>
            </w:r>
            <w:r>
              <w:rPr>
                <w:rFonts w:ascii="宋体" w:hAnsi="宋体" w:cs="宋体"/>
                <w:kern w:val="0"/>
              </w:rPr>
              <w:t>10%</w:t>
            </w:r>
            <w:r>
              <w:rPr>
                <w:rFonts w:hint="eastAsia" w:ascii="宋体" w:hAnsi="宋体" w:cs="宋体"/>
                <w:kern w:val="0"/>
              </w:rPr>
              <w:t>（含）</w:t>
            </w:r>
            <w:r>
              <w:rPr>
                <w:rFonts w:ascii="宋体" w:hAnsi="宋体" w:cs="宋体"/>
                <w:kern w:val="0"/>
              </w:rPr>
              <w:t>-20%</w:t>
            </w:r>
            <w:r>
              <w:rPr>
                <w:rFonts w:hint="eastAsia" w:ascii="宋体" w:hAnsi="宋体" w:cs="宋体"/>
                <w:kern w:val="0"/>
              </w:rPr>
              <w:t>的，扣</w:t>
            </w:r>
            <w:r>
              <w:rPr>
                <w:rFonts w:ascii="宋体" w:hAnsi="宋体" w:cs="宋体"/>
                <w:kern w:val="0"/>
              </w:rPr>
              <w:t>1</w:t>
            </w:r>
            <w:r>
              <w:rPr>
                <w:rFonts w:hint="eastAsia" w:ascii="宋体" w:hAnsi="宋体" w:cs="宋体"/>
                <w:kern w:val="0"/>
              </w:rPr>
              <w:t>分；低于规划指标</w:t>
            </w:r>
            <w:r>
              <w:rPr>
                <w:rFonts w:ascii="宋体" w:hAnsi="宋体" w:cs="宋体"/>
                <w:kern w:val="0"/>
              </w:rPr>
              <w:t>20%</w:t>
            </w:r>
            <w:r>
              <w:rPr>
                <w:rFonts w:hint="eastAsia" w:ascii="宋体" w:hAnsi="宋体" w:cs="宋体"/>
                <w:kern w:val="0"/>
              </w:rPr>
              <w:t>（含）以上的，不得分。</w:t>
            </w:r>
            <w:r>
              <w:rPr>
                <w:rFonts w:ascii="宋体" w:cs="宋体"/>
                <w:kern w:val="0"/>
              </w:rPr>
              <w:br w:type="textWrapping"/>
            </w:r>
            <w:r>
              <w:rPr>
                <w:rFonts w:hint="eastAsia" w:ascii="宋体" w:hAnsi="宋体" w:cs="宋体"/>
                <w:kern w:val="0"/>
              </w:rPr>
              <w:t>（</w:t>
            </w:r>
            <w:r>
              <w:rPr>
                <w:rFonts w:ascii="宋体" w:hAnsi="宋体" w:cs="宋体"/>
                <w:kern w:val="0"/>
              </w:rPr>
              <w:t>6</w:t>
            </w:r>
            <w:r>
              <w:rPr>
                <w:rFonts w:hint="eastAsia" w:ascii="宋体" w:hAnsi="宋体" w:cs="宋体"/>
                <w:kern w:val="0"/>
              </w:rPr>
              <w:t>）偏远地区微管网独立气源站（含气化站和瓶组站）按规划进度建设的，得</w:t>
            </w:r>
            <w:r>
              <w:rPr>
                <w:rFonts w:ascii="宋体" w:hAnsi="宋体" w:cs="宋体"/>
                <w:kern w:val="0"/>
              </w:rPr>
              <w:t>1</w:t>
            </w:r>
            <w:r>
              <w:rPr>
                <w:rFonts w:hint="eastAsia" w:ascii="宋体" w:hAnsi="宋体" w:cs="宋体"/>
                <w:kern w:val="0"/>
              </w:rPr>
              <w:t>分；每存在</w:t>
            </w:r>
            <w:r>
              <w:rPr>
                <w:rFonts w:ascii="宋体" w:hAnsi="宋体" w:cs="宋体"/>
                <w:kern w:val="0"/>
              </w:rPr>
              <w:t>1</w:t>
            </w:r>
            <w:r>
              <w:rPr>
                <w:rFonts w:hint="eastAsia" w:ascii="宋体" w:hAnsi="宋体" w:cs="宋体"/>
                <w:kern w:val="0"/>
              </w:rPr>
              <w:t>座气源站未按规划建设的扣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注：本项所有指标范围均指燃气企业特许经营区域内；若当地燃气专项规划在评估期内无相关考核指标的，该小项得满分；评估期内当地燃气规划尚未发布的，以上一轮规划期末指标为基数，结合省规划</w:t>
            </w:r>
            <w:r>
              <w:rPr>
                <w:rFonts w:hint="eastAsia" w:ascii="宋体" w:cs="宋体"/>
                <w:kern w:val="0"/>
              </w:rPr>
              <w:t>“</w:t>
            </w:r>
            <w:r>
              <w:rPr>
                <w:rFonts w:hint="eastAsia" w:ascii="宋体" w:hAnsi="宋体" w:cs="宋体"/>
                <w:kern w:val="0"/>
              </w:rPr>
              <w:t>十四五</w:t>
            </w:r>
            <w:r>
              <w:rPr>
                <w:rFonts w:hint="eastAsia" w:ascii="宋体" w:cs="宋体"/>
                <w:kern w:val="0"/>
              </w:rPr>
              <w:t>”</w:t>
            </w:r>
            <w:r>
              <w:rPr>
                <w:rFonts w:hint="eastAsia" w:ascii="宋体" w:hAnsi="宋体" w:cs="宋体"/>
                <w:kern w:val="0"/>
              </w:rPr>
              <w:t>末考核指标计算当期目标。</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8</w:t>
            </w:r>
          </w:p>
        </w:tc>
        <w:tc>
          <w:tcPr>
            <w:tcW w:w="2218" w:type="dxa"/>
            <w:vMerge w:val="restart"/>
            <w:vAlign w:val="center"/>
          </w:tcPr>
          <w:p>
            <w:pPr>
              <w:snapToGrid w:val="0"/>
              <w:spacing w:line="240" w:lineRule="atLeast"/>
              <w:jc w:val="center"/>
              <w:rPr>
                <w:rFonts w:ascii="宋体" w:cs="宋体"/>
                <w:kern w:val="0"/>
              </w:rPr>
            </w:pPr>
            <w:r>
              <w:rPr>
                <w:rFonts w:hint="eastAsia" w:ascii="宋体" w:hAnsi="宋体" w:cs="宋体"/>
                <w:kern w:val="0"/>
              </w:rPr>
              <w:t>三、安全投入、生产管理及应急能力</w:t>
            </w:r>
          </w:p>
          <w:p>
            <w:pPr>
              <w:snapToGrid w:val="0"/>
              <w:spacing w:line="240" w:lineRule="atLeast"/>
              <w:jc w:val="center"/>
              <w:rPr>
                <w:rFonts w:ascii="宋体" w:cs="宋体"/>
                <w:kern w:val="0"/>
              </w:rPr>
            </w:pPr>
            <w:r>
              <w:rPr>
                <w:rFonts w:hint="eastAsia" w:ascii="宋体" w:hAnsi="宋体" w:cs="宋体"/>
                <w:kern w:val="0"/>
              </w:rPr>
              <w:t>（</w:t>
            </w:r>
            <w:r>
              <w:rPr>
                <w:rFonts w:ascii="宋体" w:hAnsi="宋体" w:cs="宋体"/>
                <w:kern w:val="0"/>
              </w:rPr>
              <w:t>49</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双重预防</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5</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）按规定建立风险分级管控和隐患排查治理双重预防机制的，得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）按要求定期开展风险识别和隐患排查治理，建立隐患台账，并形成治理闭环的，得</w:t>
            </w:r>
            <w:r>
              <w:rPr>
                <w:rFonts w:ascii="宋体" w:hAnsi="宋体" w:cs="宋体"/>
                <w:kern w:val="0"/>
              </w:rPr>
              <w:t>3</w:t>
            </w:r>
            <w:r>
              <w:rPr>
                <w:rFonts w:hint="eastAsia" w:ascii="宋体" w:hAnsi="宋体" w:cs="宋体"/>
                <w:kern w:val="0"/>
              </w:rPr>
              <w:t>分；有一项隐患未整改完成扣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）将隐患排查情况定期上报管理部门的，得</w:t>
            </w:r>
            <w:r>
              <w:rPr>
                <w:rFonts w:ascii="宋体" w:hAnsi="宋体" w:cs="宋体"/>
                <w:kern w:val="0"/>
              </w:rPr>
              <w:t>1</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4"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9</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应急能力</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6</w:t>
            </w:r>
          </w:p>
        </w:tc>
        <w:tc>
          <w:tcPr>
            <w:tcW w:w="8220" w:type="dxa"/>
            <w:vAlign w:val="center"/>
          </w:tcPr>
          <w:p>
            <w:pPr>
              <w:tabs>
                <w:tab w:val="left" w:pos="9367"/>
              </w:tabs>
              <w:snapToGrid w:val="0"/>
              <w:spacing w:line="240" w:lineRule="atLeast"/>
              <w:jc w:val="left"/>
              <w:textAlignment w:val="center"/>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）应急预案</w:t>
            </w:r>
            <w:r>
              <w:rPr>
                <w:rFonts w:ascii="宋体" w:cs="宋体"/>
                <w:kern w:val="0"/>
              </w:rPr>
              <w:br w:type="textWrapping"/>
            </w:r>
            <w:r>
              <w:rPr>
                <w:rFonts w:ascii="宋体" w:hAnsi="宋体" w:cs="宋体"/>
                <w:kern w:val="0"/>
              </w:rPr>
              <w:t>1</w:t>
            </w:r>
            <w:r>
              <w:rPr>
                <w:rFonts w:hint="eastAsia" w:ascii="宋体" w:hAnsi="宋体" w:cs="宋体"/>
                <w:kern w:val="0"/>
              </w:rPr>
              <w:t>）按国家和地方相关要求，建立完整的企业应急预案体系，得</w:t>
            </w:r>
            <w:r>
              <w:rPr>
                <w:rFonts w:ascii="宋体" w:hAnsi="宋体" w:cs="宋体"/>
                <w:kern w:val="0"/>
              </w:rPr>
              <w:t>1</w:t>
            </w:r>
            <w:r>
              <w:rPr>
                <w:rFonts w:hint="eastAsia" w:ascii="宋体" w:hAnsi="宋体" w:cs="宋体"/>
                <w:kern w:val="0"/>
              </w:rPr>
              <w:t>分，有一项不合格扣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ascii="宋体" w:hAnsi="宋体" w:cs="宋体"/>
                <w:kern w:val="0"/>
              </w:rPr>
              <w:t>2</w:t>
            </w:r>
            <w:r>
              <w:rPr>
                <w:rFonts w:hint="eastAsia" w:ascii="宋体" w:hAnsi="宋体" w:cs="宋体"/>
                <w:kern w:val="0"/>
              </w:rPr>
              <w:t>）应急预案进行评审后，经单位主要负责人签署实施，报燃气主管部门或应急管理部门备案，并按要求持续修订完善的，得</w:t>
            </w:r>
            <w:r>
              <w:rPr>
                <w:rFonts w:ascii="宋体" w:hAnsi="宋体" w:cs="宋体"/>
                <w:kern w:val="0"/>
              </w:rPr>
              <w:t>1</w:t>
            </w:r>
            <w:r>
              <w:rPr>
                <w:rFonts w:hint="eastAsia" w:ascii="宋体" w:hAnsi="宋体" w:cs="宋体"/>
                <w:kern w:val="0"/>
              </w:rPr>
              <w:t>分；有一项不合格扣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）按要求制定应急预案演练计划（</w:t>
            </w:r>
            <w:r>
              <w:rPr>
                <w:rFonts w:ascii="宋体" w:hAnsi="宋体" w:cs="宋体"/>
                <w:kern w:val="0"/>
              </w:rPr>
              <w:t>0.5</w:t>
            </w:r>
            <w:r>
              <w:rPr>
                <w:rFonts w:hint="eastAsia" w:ascii="宋体" w:hAnsi="宋体" w:cs="宋体"/>
                <w:kern w:val="0"/>
              </w:rPr>
              <w:t>分）；依据应急预案开展应急演练，按要求编制演练相关文件（</w:t>
            </w:r>
            <w:r>
              <w:rPr>
                <w:rFonts w:ascii="宋体" w:hAnsi="宋体" w:cs="宋体"/>
                <w:kern w:val="0"/>
              </w:rPr>
              <w:t>0.5</w:t>
            </w:r>
            <w:r>
              <w:rPr>
                <w:rFonts w:hint="eastAsia" w:ascii="宋体" w:hAnsi="宋体" w:cs="宋体"/>
                <w:kern w:val="0"/>
              </w:rPr>
              <w:t>分），有详尽的演练记录（</w:t>
            </w:r>
            <w:r>
              <w:rPr>
                <w:rFonts w:ascii="宋体" w:hAnsi="宋体" w:cs="宋体"/>
                <w:kern w:val="0"/>
              </w:rPr>
              <w:t>0.5</w:t>
            </w:r>
            <w:r>
              <w:rPr>
                <w:rFonts w:hint="eastAsia" w:ascii="宋体" w:hAnsi="宋体" w:cs="宋体"/>
                <w:kern w:val="0"/>
              </w:rPr>
              <w:t>分）和完整的评估总结（</w:t>
            </w:r>
            <w:r>
              <w:rPr>
                <w:rFonts w:ascii="宋体" w:hAnsi="宋体" w:cs="宋体"/>
                <w:kern w:val="0"/>
              </w:rPr>
              <w:t>0.5</w:t>
            </w:r>
            <w:r>
              <w:rPr>
                <w:rFonts w:hint="eastAsia" w:ascii="宋体" w:hAnsi="宋体" w:cs="宋体"/>
                <w:kern w:val="0"/>
              </w:rPr>
              <w:t>分），共</w:t>
            </w:r>
            <w:r>
              <w:rPr>
                <w:rFonts w:ascii="宋体" w:hAnsi="宋体" w:cs="宋体"/>
                <w:kern w:val="0"/>
              </w:rPr>
              <w:t>2</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）按相关要求成立应急救援队伍、配备应急救援装备、器材，并定期检查，保证完好可用的，得</w:t>
            </w:r>
            <w:r>
              <w:rPr>
                <w:rFonts w:ascii="宋体" w:hAnsi="宋体" w:cs="宋体"/>
                <w:kern w:val="0"/>
              </w:rPr>
              <w:t>2</w:t>
            </w:r>
            <w:r>
              <w:rPr>
                <w:rFonts w:hint="eastAsia" w:ascii="宋体" w:hAnsi="宋体" w:cs="宋体"/>
                <w:kern w:val="0"/>
              </w:rPr>
              <w:t>分，缺一项扣</w:t>
            </w:r>
            <w:r>
              <w:rPr>
                <w:rFonts w:ascii="宋体" w:hAnsi="宋体" w:cs="宋体"/>
                <w:kern w:val="0"/>
              </w:rPr>
              <w:t>0.5</w:t>
            </w:r>
            <w:r>
              <w:rPr>
                <w:rFonts w:hint="eastAsia" w:ascii="宋体" w:hAnsi="宋体" w:cs="宋体"/>
                <w:kern w:val="0"/>
              </w:rPr>
              <w:t>分，扣完为止。</w:t>
            </w:r>
            <w:r>
              <w:rPr>
                <w:rFonts w:hint="eastAsia" w:ascii="宋体" w:hAnsi="宋体" w:cs="宋体"/>
              </w:rPr>
              <w:t>采取外包的，此条不得分。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10</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事故事件</w:t>
            </w:r>
          </w:p>
          <w:p>
            <w:pPr>
              <w:snapToGrid w:val="0"/>
              <w:spacing w:line="240" w:lineRule="atLeast"/>
              <w:jc w:val="center"/>
              <w:textAlignment w:val="center"/>
              <w:rPr>
                <w:rFonts w:ascii="宋体" w:cs="宋体"/>
                <w:kern w:val="0"/>
              </w:rPr>
            </w:pPr>
            <w:r>
              <w:rPr>
                <w:rFonts w:hint="eastAsia" w:ascii="宋体" w:hAnsi="宋体" w:cs="宋体"/>
                <w:kern w:val="0"/>
              </w:rPr>
              <w:t>管理</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）制定完善的事故事件管理制度的，得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）建立完整的事故和事件台账的，得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）定期对事件情况进行统计分析，并提出应对或改进措施的，得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spacing w:val="-16"/>
                <w:kern w:val="0"/>
              </w:rPr>
              <w:t>按要求对事故进行处置和上报，并在事后及时进行分析，举一反三，开展隐患排查的，得</w:t>
            </w:r>
            <w:r>
              <w:rPr>
                <w:rFonts w:ascii="宋体" w:hAnsi="宋体" w:cs="宋体"/>
                <w:spacing w:val="-16"/>
                <w:kern w:val="0"/>
              </w:rPr>
              <w:t>1</w:t>
            </w:r>
            <w:r>
              <w:rPr>
                <w:rFonts w:hint="eastAsia" w:ascii="宋体" w:hAnsi="宋体" w:cs="宋体"/>
                <w:spacing w:val="-16"/>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11</w:t>
            </w:r>
          </w:p>
        </w:tc>
        <w:tc>
          <w:tcPr>
            <w:tcW w:w="2218" w:type="dxa"/>
            <w:vMerge w:val="restart"/>
            <w:vAlign w:val="center"/>
          </w:tcPr>
          <w:p>
            <w:pPr>
              <w:snapToGrid w:val="0"/>
              <w:spacing w:line="240" w:lineRule="atLeast"/>
              <w:jc w:val="center"/>
              <w:rPr>
                <w:rFonts w:ascii="宋体" w:cs="宋体"/>
                <w:kern w:val="0"/>
              </w:rPr>
            </w:pPr>
            <w:r>
              <w:rPr>
                <w:rFonts w:hint="eastAsia" w:ascii="宋体" w:hAnsi="宋体" w:cs="宋体"/>
                <w:kern w:val="0"/>
              </w:rPr>
              <w:t>三、安全投入、生产管理及应急能力</w:t>
            </w:r>
          </w:p>
          <w:p>
            <w:pPr>
              <w:snapToGrid w:val="0"/>
              <w:spacing w:line="240" w:lineRule="atLeast"/>
              <w:jc w:val="center"/>
              <w:rPr>
                <w:rFonts w:ascii="宋体" w:cs="宋体"/>
                <w:kern w:val="0"/>
              </w:rPr>
            </w:pPr>
            <w:r>
              <w:rPr>
                <w:rFonts w:hint="eastAsia" w:ascii="宋体" w:hAnsi="宋体" w:cs="宋体"/>
                <w:kern w:val="0"/>
              </w:rPr>
              <w:t>（</w:t>
            </w:r>
            <w:r>
              <w:rPr>
                <w:rFonts w:ascii="宋体" w:hAnsi="宋体" w:cs="宋体"/>
                <w:kern w:val="0"/>
              </w:rPr>
              <w:t>49</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安全管理</w:t>
            </w:r>
          </w:p>
          <w:p>
            <w:pPr>
              <w:snapToGrid w:val="0"/>
              <w:spacing w:line="240" w:lineRule="atLeast"/>
              <w:jc w:val="center"/>
              <w:textAlignment w:val="center"/>
              <w:rPr>
                <w:rFonts w:ascii="宋体" w:cs="宋体"/>
                <w:kern w:val="0"/>
              </w:rPr>
            </w:pPr>
            <w:r>
              <w:rPr>
                <w:rFonts w:hint="eastAsia" w:ascii="宋体" w:hAnsi="宋体" w:cs="宋体"/>
                <w:kern w:val="0"/>
              </w:rPr>
              <w:t>制度</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7</w:t>
            </w:r>
          </w:p>
        </w:tc>
        <w:tc>
          <w:tcPr>
            <w:tcW w:w="8220" w:type="dxa"/>
            <w:vAlign w:val="center"/>
          </w:tcPr>
          <w:p>
            <w:pPr>
              <w:snapToGrid w:val="0"/>
              <w:spacing w:line="240" w:lineRule="atLeast"/>
              <w:jc w:val="left"/>
              <w:textAlignment w:val="center"/>
              <w:rPr>
                <w:rFonts w:ascii="宋体" w:cs="宋体"/>
                <w:spacing w:val="-4"/>
              </w:rPr>
            </w:pPr>
            <w:r>
              <w:rPr>
                <w:rFonts w:hint="eastAsia" w:ascii="宋体" w:hAnsi="宋体" w:cs="宋体"/>
                <w:spacing w:val="-4"/>
                <w:kern w:val="0"/>
              </w:rPr>
              <w:t>（</w:t>
            </w:r>
            <w:r>
              <w:rPr>
                <w:rFonts w:ascii="宋体" w:hAnsi="宋体" w:cs="宋体"/>
                <w:spacing w:val="-4"/>
                <w:kern w:val="0"/>
              </w:rPr>
              <w:t>1</w:t>
            </w:r>
            <w:r>
              <w:rPr>
                <w:rFonts w:hint="eastAsia" w:ascii="宋体" w:hAnsi="宋体" w:cs="宋体"/>
                <w:spacing w:val="-4"/>
                <w:kern w:val="0"/>
              </w:rPr>
              <w:t>）按照相关要求，具有健全的安全生产管理制度，包括但不限于：安全生产责任制、安全生产费用管理、安全教育培训管理、安全风险管理、隐患排查治理、事故管理、特种设备安全管理、燃气场站运行管理、燃气管网运行管理、岗位操作规程、用户燃气安全检查、相关方安全管理等制度，得</w:t>
            </w:r>
            <w:r>
              <w:rPr>
                <w:rFonts w:ascii="宋体" w:hAnsi="宋体" w:cs="宋体"/>
                <w:spacing w:val="-4"/>
                <w:kern w:val="0"/>
              </w:rPr>
              <w:t>2</w:t>
            </w:r>
            <w:r>
              <w:rPr>
                <w:rFonts w:hint="eastAsia" w:ascii="宋体" w:hAnsi="宋体" w:cs="宋体"/>
                <w:spacing w:val="-4"/>
                <w:kern w:val="0"/>
              </w:rPr>
              <w:t>分；缺一项扣</w:t>
            </w:r>
            <w:r>
              <w:rPr>
                <w:rFonts w:ascii="宋体" w:hAnsi="宋体" w:cs="宋体"/>
                <w:spacing w:val="-4"/>
                <w:kern w:val="0"/>
              </w:rPr>
              <w:t>1</w:t>
            </w:r>
            <w:r>
              <w:rPr>
                <w:rFonts w:hint="eastAsia" w:ascii="宋体" w:hAnsi="宋体" w:cs="宋体"/>
                <w:spacing w:val="-4"/>
                <w:kern w:val="0"/>
              </w:rPr>
              <w:t>分，存在一项制度不完善的扣</w:t>
            </w:r>
            <w:r>
              <w:rPr>
                <w:rFonts w:ascii="宋体" w:hAnsi="宋体" w:cs="宋体"/>
                <w:spacing w:val="-4"/>
                <w:kern w:val="0"/>
              </w:rPr>
              <w:t>0.5</w:t>
            </w:r>
            <w:r>
              <w:rPr>
                <w:rFonts w:hint="eastAsia" w:ascii="宋体" w:hAnsi="宋体" w:cs="宋体"/>
                <w:spacing w:val="-4"/>
                <w:kern w:val="0"/>
              </w:rPr>
              <w:t>分，存在一项制度未及时评估的扣</w:t>
            </w:r>
            <w:r>
              <w:rPr>
                <w:rFonts w:ascii="宋体" w:hAnsi="宋体" w:cs="宋体"/>
                <w:spacing w:val="-4"/>
                <w:kern w:val="0"/>
              </w:rPr>
              <w:t>0.5</w:t>
            </w:r>
            <w:r>
              <w:rPr>
                <w:rFonts w:hint="eastAsia" w:ascii="宋体" w:hAnsi="宋体" w:cs="宋体"/>
                <w:spacing w:val="-4"/>
                <w:kern w:val="0"/>
              </w:rPr>
              <w:t>分，扣完为止；</w:t>
            </w:r>
            <w:r>
              <w:rPr>
                <w:rFonts w:ascii="宋体" w:cs="宋体"/>
                <w:spacing w:val="-4"/>
                <w:kern w:val="0"/>
              </w:rPr>
              <w:br w:type="textWrapping"/>
            </w:r>
            <w:r>
              <w:rPr>
                <w:rFonts w:hint="eastAsia" w:ascii="宋体" w:hAnsi="宋体" w:cs="宋体"/>
                <w:spacing w:val="-4"/>
                <w:kern w:val="0"/>
              </w:rPr>
              <w:t>（</w:t>
            </w:r>
            <w:r>
              <w:rPr>
                <w:rFonts w:ascii="宋体" w:hAnsi="宋体" w:cs="宋体"/>
                <w:spacing w:val="-4"/>
                <w:kern w:val="0"/>
              </w:rPr>
              <w:t>2</w:t>
            </w:r>
            <w:r>
              <w:rPr>
                <w:rFonts w:hint="eastAsia" w:ascii="宋体" w:hAnsi="宋体" w:cs="宋体"/>
                <w:spacing w:val="-4"/>
                <w:kern w:val="0"/>
              </w:rPr>
              <w:t>）与各部门或相关人员签订安全生产责任书，并定期对安全生产责任制落实情况进行考核的，得</w:t>
            </w:r>
            <w:r>
              <w:rPr>
                <w:rFonts w:ascii="宋体" w:hAnsi="宋体" w:cs="宋体"/>
                <w:spacing w:val="-4"/>
                <w:kern w:val="0"/>
              </w:rPr>
              <w:t>2</w:t>
            </w:r>
            <w:r>
              <w:rPr>
                <w:rFonts w:hint="eastAsia" w:ascii="宋体" w:hAnsi="宋体" w:cs="宋体"/>
                <w:spacing w:val="-4"/>
                <w:kern w:val="0"/>
              </w:rPr>
              <w:t>分；存在一项不满足要求的，扣</w:t>
            </w:r>
            <w:r>
              <w:rPr>
                <w:rFonts w:ascii="宋体" w:hAnsi="宋体" w:cs="宋体"/>
                <w:spacing w:val="-4"/>
                <w:kern w:val="0"/>
              </w:rPr>
              <w:t>0.5</w:t>
            </w:r>
            <w:r>
              <w:rPr>
                <w:rFonts w:hint="eastAsia" w:ascii="宋体" w:hAnsi="宋体" w:cs="宋体"/>
                <w:spacing w:val="-4"/>
                <w:kern w:val="0"/>
              </w:rPr>
              <w:t>分，扣完为止；</w:t>
            </w:r>
            <w:r>
              <w:rPr>
                <w:rFonts w:ascii="宋体" w:cs="宋体"/>
                <w:spacing w:val="-4"/>
                <w:kern w:val="0"/>
              </w:rPr>
              <w:br w:type="textWrapping"/>
            </w:r>
            <w:r>
              <w:rPr>
                <w:rFonts w:hint="eastAsia" w:ascii="宋体" w:hAnsi="宋体" w:cs="宋体"/>
                <w:spacing w:val="-4"/>
                <w:kern w:val="0"/>
              </w:rPr>
              <w:t>（</w:t>
            </w:r>
            <w:r>
              <w:rPr>
                <w:rFonts w:ascii="宋体" w:hAnsi="宋体" w:cs="宋体"/>
                <w:spacing w:val="-4"/>
                <w:kern w:val="0"/>
              </w:rPr>
              <w:t>3</w:t>
            </w:r>
            <w:r>
              <w:rPr>
                <w:rFonts w:hint="eastAsia" w:ascii="宋体" w:hAnsi="宋体" w:cs="宋体"/>
                <w:spacing w:val="-4"/>
                <w:kern w:val="0"/>
              </w:rPr>
              <w:t>）安全生产费用</w:t>
            </w:r>
            <w:r>
              <w:rPr>
                <w:rFonts w:ascii="宋体" w:cs="宋体"/>
                <w:spacing w:val="-4"/>
                <w:kern w:val="0"/>
              </w:rPr>
              <w:br w:type="textWrapping"/>
            </w:r>
            <w:r>
              <w:rPr>
                <w:rFonts w:ascii="宋体" w:hAnsi="宋体" w:cs="宋体"/>
                <w:spacing w:val="-4"/>
                <w:kern w:val="0"/>
              </w:rPr>
              <w:t>1</w:t>
            </w:r>
            <w:r>
              <w:rPr>
                <w:rFonts w:hint="eastAsia" w:ascii="宋体" w:hAnsi="宋体" w:cs="宋体"/>
                <w:spacing w:val="-4"/>
                <w:kern w:val="0"/>
              </w:rPr>
              <w:t>）按要求制定安全生产费用管理制度，制定安全生产费用年度计划，并严格执行的，得</w:t>
            </w:r>
            <w:r>
              <w:rPr>
                <w:rFonts w:ascii="宋体" w:hAnsi="宋体" w:cs="宋体"/>
                <w:spacing w:val="-4"/>
                <w:kern w:val="0"/>
              </w:rPr>
              <w:t>1</w:t>
            </w:r>
            <w:r>
              <w:rPr>
                <w:rFonts w:hint="eastAsia" w:ascii="宋体" w:hAnsi="宋体" w:cs="宋体"/>
                <w:spacing w:val="-4"/>
                <w:kern w:val="0"/>
              </w:rPr>
              <w:t>分；有一项不满足要求的，不得分；</w:t>
            </w:r>
            <w:r>
              <w:rPr>
                <w:rFonts w:ascii="宋体" w:cs="宋体"/>
                <w:spacing w:val="-4"/>
                <w:kern w:val="0"/>
              </w:rPr>
              <w:br w:type="textWrapping"/>
            </w:r>
            <w:r>
              <w:rPr>
                <w:rFonts w:ascii="宋体" w:hAnsi="宋体" w:cs="宋体"/>
                <w:spacing w:val="-4"/>
                <w:kern w:val="0"/>
              </w:rPr>
              <w:t>2</w:t>
            </w:r>
            <w:r>
              <w:rPr>
                <w:rFonts w:hint="eastAsia" w:ascii="宋体" w:hAnsi="宋体" w:cs="宋体"/>
                <w:spacing w:val="-4"/>
                <w:kern w:val="0"/>
              </w:rPr>
              <w:t>）企业安全费用专项核算的，得</w:t>
            </w:r>
            <w:r>
              <w:rPr>
                <w:rFonts w:ascii="宋体" w:hAnsi="宋体" w:cs="宋体"/>
                <w:spacing w:val="-4"/>
                <w:kern w:val="0"/>
              </w:rPr>
              <w:t>1</w:t>
            </w:r>
            <w:r>
              <w:rPr>
                <w:rFonts w:hint="eastAsia" w:ascii="宋体" w:hAnsi="宋体" w:cs="宋体"/>
                <w:spacing w:val="-4"/>
                <w:kern w:val="0"/>
              </w:rPr>
              <w:t>分；</w:t>
            </w:r>
            <w:r>
              <w:rPr>
                <w:rFonts w:ascii="宋体" w:cs="宋体"/>
                <w:spacing w:val="-4"/>
                <w:kern w:val="0"/>
              </w:rPr>
              <w:br w:type="textWrapping"/>
            </w:r>
            <w:r>
              <w:rPr>
                <w:rFonts w:ascii="宋体" w:hAnsi="宋体" w:cs="宋体"/>
                <w:spacing w:val="-4"/>
                <w:kern w:val="0"/>
              </w:rPr>
              <w:t>3</w:t>
            </w:r>
            <w:r>
              <w:rPr>
                <w:rFonts w:hint="eastAsia" w:ascii="宋体" w:hAnsi="宋体" w:cs="宋体"/>
                <w:spacing w:val="-4"/>
                <w:kern w:val="0"/>
              </w:rPr>
              <w:t>）安全生产费用按规定比例足额提取的，得</w:t>
            </w:r>
            <w:r>
              <w:rPr>
                <w:rFonts w:ascii="宋体" w:hAnsi="宋体" w:cs="宋体"/>
                <w:spacing w:val="-4"/>
                <w:kern w:val="0"/>
              </w:rPr>
              <w:t>1</w:t>
            </w:r>
            <w:r>
              <w:rPr>
                <w:rFonts w:hint="eastAsia" w:ascii="宋体" w:hAnsi="宋体" w:cs="宋体"/>
                <w:spacing w:val="-4"/>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12</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安全管理机构及人员持证</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6</w:t>
            </w:r>
          </w:p>
        </w:tc>
        <w:tc>
          <w:tcPr>
            <w:tcW w:w="8220" w:type="dxa"/>
            <w:vAlign w:val="center"/>
          </w:tcPr>
          <w:p>
            <w:pPr>
              <w:snapToGrid w:val="0"/>
              <w:spacing w:line="240" w:lineRule="atLeast"/>
              <w:jc w:val="left"/>
              <w:textAlignment w:val="center"/>
              <w:rPr>
                <w:rFonts w:ascii="宋体" w:cs="宋体"/>
                <w:spacing w:val="-6"/>
                <w:kern w:val="0"/>
              </w:rPr>
            </w:pPr>
            <w:r>
              <w:rPr>
                <w:rFonts w:hint="eastAsia" w:ascii="宋体" w:hAnsi="宋体" w:cs="宋体"/>
                <w:spacing w:val="-6"/>
                <w:kern w:val="0"/>
              </w:rPr>
              <w:t>（</w:t>
            </w:r>
            <w:r>
              <w:rPr>
                <w:rFonts w:ascii="宋体" w:hAnsi="宋体" w:cs="宋体"/>
                <w:spacing w:val="-6"/>
                <w:kern w:val="0"/>
              </w:rPr>
              <w:t>1</w:t>
            </w:r>
            <w:r>
              <w:rPr>
                <w:rFonts w:hint="eastAsia" w:ascii="宋体" w:hAnsi="宋体" w:cs="宋体"/>
                <w:spacing w:val="-6"/>
                <w:kern w:val="0"/>
              </w:rPr>
              <w:t>）设立安全生产委员会或安全生产领导机构，并按规定定期召开安全专题会，得</w:t>
            </w:r>
            <w:r>
              <w:rPr>
                <w:rFonts w:ascii="宋体" w:hAnsi="宋体" w:cs="宋体"/>
                <w:spacing w:val="-6"/>
                <w:kern w:val="0"/>
              </w:rPr>
              <w:t>0.5</w:t>
            </w:r>
            <w:r>
              <w:rPr>
                <w:rFonts w:hint="eastAsia" w:ascii="宋体" w:hAnsi="宋体" w:cs="宋体"/>
                <w:spacing w:val="-6"/>
                <w:kern w:val="0"/>
              </w:rPr>
              <w:t>分；</w:t>
            </w:r>
            <w:r>
              <w:rPr>
                <w:rFonts w:ascii="宋体" w:cs="宋体"/>
                <w:spacing w:val="-6"/>
                <w:kern w:val="0"/>
              </w:rPr>
              <w:br w:type="textWrapping"/>
            </w:r>
            <w:r>
              <w:rPr>
                <w:rFonts w:hint="eastAsia" w:ascii="宋体" w:hAnsi="宋体" w:cs="宋体"/>
                <w:spacing w:val="-6"/>
                <w:kern w:val="0"/>
              </w:rPr>
              <w:t>（</w:t>
            </w:r>
            <w:r>
              <w:rPr>
                <w:rFonts w:ascii="宋体" w:hAnsi="宋体" w:cs="宋体"/>
                <w:spacing w:val="-6"/>
                <w:kern w:val="0"/>
              </w:rPr>
              <w:t>2</w:t>
            </w:r>
            <w:r>
              <w:rPr>
                <w:rFonts w:hint="eastAsia" w:ascii="宋体" w:hAnsi="宋体" w:cs="宋体"/>
                <w:spacing w:val="-6"/>
                <w:kern w:val="0"/>
              </w:rPr>
              <w:t>）建立公司领导层至基层班组的安全生产管理网络，得</w:t>
            </w:r>
            <w:r>
              <w:rPr>
                <w:rFonts w:ascii="宋体" w:hAnsi="宋体" w:cs="宋体"/>
                <w:spacing w:val="-6"/>
                <w:kern w:val="0"/>
              </w:rPr>
              <w:t>0.5</w:t>
            </w:r>
            <w:r>
              <w:rPr>
                <w:rFonts w:hint="eastAsia" w:ascii="宋体" w:hAnsi="宋体" w:cs="宋体"/>
                <w:spacing w:val="-6"/>
                <w:kern w:val="0"/>
              </w:rPr>
              <w:t>分；</w:t>
            </w:r>
            <w:r>
              <w:rPr>
                <w:rFonts w:ascii="宋体" w:cs="宋体"/>
                <w:spacing w:val="-6"/>
                <w:kern w:val="0"/>
              </w:rPr>
              <w:br w:type="textWrapping"/>
            </w:r>
            <w:r>
              <w:rPr>
                <w:rFonts w:hint="eastAsia" w:ascii="宋体" w:hAnsi="宋体" w:cs="宋体"/>
                <w:spacing w:val="-6"/>
                <w:kern w:val="0"/>
              </w:rPr>
              <w:t>（</w:t>
            </w:r>
            <w:r>
              <w:rPr>
                <w:rFonts w:ascii="宋体" w:hAnsi="宋体" w:cs="宋体"/>
                <w:spacing w:val="-6"/>
                <w:kern w:val="0"/>
              </w:rPr>
              <w:t>3</w:t>
            </w:r>
            <w:r>
              <w:rPr>
                <w:rFonts w:hint="eastAsia" w:ascii="宋体" w:hAnsi="宋体" w:cs="宋体"/>
                <w:spacing w:val="-6"/>
                <w:kern w:val="0"/>
              </w:rPr>
              <w:t>）配备注册安全工程师，得</w:t>
            </w:r>
            <w:r>
              <w:rPr>
                <w:rFonts w:ascii="宋体" w:hAnsi="宋体" w:cs="宋体"/>
                <w:spacing w:val="-6"/>
                <w:kern w:val="0"/>
              </w:rPr>
              <w:t>1</w:t>
            </w:r>
            <w:r>
              <w:rPr>
                <w:rFonts w:hint="eastAsia" w:ascii="宋体" w:hAnsi="宋体" w:cs="宋体"/>
                <w:spacing w:val="-6"/>
                <w:kern w:val="0"/>
              </w:rPr>
              <w:t>分；</w:t>
            </w:r>
            <w:r>
              <w:rPr>
                <w:rFonts w:ascii="宋体" w:cs="宋体"/>
                <w:spacing w:val="-6"/>
                <w:kern w:val="0"/>
              </w:rPr>
              <w:br w:type="textWrapping"/>
            </w:r>
            <w:r>
              <w:rPr>
                <w:rFonts w:hint="eastAsia" w:ascii="宋体" w:hAnsi="宋体" w:cs="宋体"/>
                <w:spacing w:val="-6"/>
                <w:kern w:val="0"/>
              </w:rPr>
              <w:t>（</w:t>
            </w:r>
            <w:r>
              <w:rPr>
                <w:rFonts w:ascii="宋体" w:hAnsi="宋体" w:cs="宋体"/>
                <w:spacing w:val="-6"/>
                <w:kern w:val="0"/>
              </w:rPr>
              <w:t>4</w:t>
            </w:r>
            <w:r>
              <w:rPr>
                <w:rFonts w:hint="eastAsia" w:ascii="宋体" w:hAnsi="宋体" w:cs="宋体"/>
                <w:spacing w:val="-6"/>
                <w:kern w:val="0"/>
              </w:rPr>
              <w:t>）主要负责人：企业法定代表人和未担任法定代表人的董事长（执行董事）、经理，应参加从业人员培训考核，取得合格证书，并定期参加继续教育的，得</w:t>
            </w:r>
            <w:r>
              <w:rPr>
                <w:rFonts w:ascii="宋体" w:hAnsi="宋体" w:cs="宋体"/>
                <w:spacing w:val="-6"/>
                <w:kern w:val="0"/>
              </w:rPr>
              <w:t>1</w:t>
            </w:r>
            <w:r>
              <w:rPr>
                <w:rFonts w:hint="eastAsia" w:ascii="宋体" w:hAnsi="宋体" w:cs="宋体"/>
                <w:spacing w:val="-6"/>
                <w:kern w:val="0"/>
              </w:rPr>
              <w:t>分；</w:t>
            </w:r>
            <w:r>
              <w:rPr>
                <w:rFonts w:ascii="宋体" w:cs="宋体"/>
                <w:spacing w:val="-6"/>
                <w:kern w:val="0"/>
                <w:highlight w:val="yellow"/>
              </w:rPr>
              <w:br w:type="textWrapping"/>
            </w:r>
            <w:r>
              <w:rPr>
                <w:rFonts w:hint="eastAsia" w:ascii="宋体" w:hAnsi="宋体" w:cs="宋体"/>
                <w:spacing w:val="-6"/>
                <w:kern w:val="0"/>
              </w:rPr>
              <w:t>（</w:t>
            </w:r>
            <w:r>
              <w:rPr>
                <w:rFonts w:ascii="宋体" w:hAnsi="宋体" w:cs="宋体"/>
                <w:spacing w:val="-6"/>
                <w:kern w:val="0"/>
              </w:rPr>
              <w:t>5</w:t>
            </w:r>
            <w:r>
              <w:rPr>
                <w:rFonts w:hint="eastAsia" w:ascii="宋体" w:hAnsi="宋体" w:cs="宋体"/>
                <w:spacing w:val="-6"/>
                <w:kern w:val="0"/>
              </w:rPr>
              <w:t>）安全生产管理人员（企业分管安全生产的负责人，企业生产、安全管理部门负责人，企业生产和销售分支机构的负责人以及企业专职安全员等相关管理人员）应参加从业人员培训考核，取得合格证书，得</w:t>
            </w:r>
            <w:r>
              <w:rPr>
                <w:rFonts w:ascii="宋体" w:hAnsi="宋体" w:cs="宋体"/>
                <w:spacing w:val="-6"/>
                <w:kern w:val="0"/>
              </w:rPr>
              <w:t>1</w:t>
            </w:r>
            <w:r>
              <w:rPr>
                <w:rFonts w:hint="eastAsia" w:ascii="宋体" w:hAnsi="宋体" w:cs="宋体"/>
                <w:spacing w:val="-6"/>
                <w:kern w:val="0"/>
              </w:rPr>
              <w:t>分；</w:t>
            </w:r>
            <w:r>
              <w:rPr>
                <w:rFonts w:ascii="宋体" w:cs="宋体"/>
                <w:spacing w:val="-6"/>
                <w:kern w:val="0"/>
              </w:rPr>
              <w:br w:type="textWrapping"/>
            </w:r>
            <w:r>
              <w:rPr>
                <w:rFonts w:hint="eastAsia" w:ascii="宋体" w:hAnsi="宋体" w:cs="宋体"/>
                <w:spacing w:val="-6"/>
                <w:kern w:val="0"/>
              </w:rPr>
              <w:t>（</w:t>
            </w:r>
            <w:r>
              <w:rPr>
                <w:rFonts w:ascii="宋体" w:hAnsi="宋体" w:cs="宋体"/>
                <w:spacing w:val="-6"/>
                <w:kern w:val="0"/>
              </w:rPr>
              <w:t>6</w:t>
            </w:r>
            <w:r>
              <w:rPr>
                <w:rFonts w:hint="eastAsia" w:ascii="宋体" w:hAnsi="宋体" w:cs="宋体"/>
                <w:spacing w:val="-6"/>
                <w:kern w:val="0"/>
              </w:rPr>
              <w:t>）运行、维护和抢修人员按照要求（燃气用户</w:t>
            </w:r>
            <w:r>
              <w:rPr>
                <w:rFonts w:ascii="宋体" w:hAnsi="宋体" w:cs="宋体"/>
                <w:spacing w:val="-6"/>
                <w:kern w:val="0"/>
              </w:rPr>
              <w:t>10</w:t>
            </w:r>
            <w:r>
              <w:rPr>
                <w:rFonts w:hint="eastAsia" w:ascii="宋体" w:hAnsi="宋体" w:cs="宋体"/>
                <w:spacing w:val="-6"/>
                <w:kern w:val="0"/>
              </w:rPr>
              <w:t>万户以下，每</w:t>
            </w:r>
            <w:r>
              <w:rPr>
                <w:rFonts w:ascii="宋体" w:hAnsi="宋体" w:cs="宋体"/>
                <w:spacing w:val="-6"/>
                <w:kern w:val="0"/>
              </w:rPr>
              <w:t>2500</w:t>
            </w:r>
            <w:r>
              <w:rPr>
                <w:rFonts w:hint="eastAsia" w:ascii="宋体" w:hAnsi="宋体" w:cs="宋体"/>
                <w:spacing w:val="-6"/>
                <w:kern w:val="0"/>
              </w:rPr>
              <w:t>户不少于</w:t>
            </w:r>
            <w:r>
              <w:rPr>
                <w:rFonts w:ascii="宋体" w:hAnsi="宋体" w:cs="宋体"/>
                <w:spacing w:val="-6"/>
                <w:kern w:val="0"/>
              </w:rPr>
              <w:t>1</w:t>
            </w:r>
            <w:r>
              <w:rPr>
                <w:rFonts w:hint="eastAsia" w:ascii="宋体" w:hAnsi="宋体" w:cs="宋体"/>
                <w:spacing w:val="-6"/>
                <w:kern w:val="0"/>
              </w:rPr>
              <w:t>人；</w:t>
            </w:r>
            <w:r>
              <w:rPr>
                <w:rFonts w:ascii="宋体" w:hAnsi="宋体" w:cs="宋体"/>
                <w:spacing w:val="-6"/>
                <w:kern w:val="0"/>
              </w:rPr>
              <w:t>10</w:t>
            </w:r>
            <w:r>
              <w:rPr>
                <w:rFonts w:hint="eastAsia" w:ascii="宋体" w:hAnsi="宋体" w:cs="宋体"/>
                <w:spacing w:val="-6"/>
                <w:kern w:val="0"/>
              </w:rPr>
              <w:t>万户以上，每增加</w:t>
            </w:r>
            <w:r>
              <w:rPr>
                <w:rFonts w:ascii="宋体" w:hAnsi="宋体" w:cs="宋体"/>
                <w:spacing w:val="-6"/>
                <w:kern w:val="0"/>
              </w:rPr>
              <w:t>2500</w:t>
            </w:r>
            <w:r>
              <w:rPr>
                <w:rFonts w:hint="eastAsia" w:ascii="宋体" w:hAnsi="宋体" w:cs="宋体"/>
                <w:spacing w:val="-6"/>
                <w:kern w:val="0"/>
              </w:rPr>
              <w:t>户增加</w:t>
            </w:r>
            <w:r>
              <w:rPr>
                <w:rFonts w:ascii="宋体" w:hAnsi="宋体" w:cs="宋体"/>
                <w:spacing w:val="-6"/>
                <w:kern w:val="0"/>
              </w:rPr>
              <w:t>1</w:t>
            </w:r>
            <w:r>
              <w:rPr>
                <w:rFonts w:hint="eastAsia" w:ascii="宋体" w:hAnsi="宋体" w:cs="宋体"/>
                <w:spacing w:val="-6"/>
                <w:kern w:val="0"/>
              </w:rPr>
              <w:t>人）配备，</w:t>
            </w:r>
            <w:bookmarkStart w:id="3" w:name="OLE_LINK5"/>
            <w:r>
              <w:rPr>
                <w:rFonts w:hint="eastAsia" w:ascii="宋体" w:hAnsi="宋体" w:cs="宋体"/>
                <w:spacing w:val="-6"/>
                <w:kern w:val="0"/>
              </w:rPr>
              <w:t>且</w:t>
            </w:r>
            <w:bookmarkEnd w:id="3"/>
            <w:r>
              <w:rPr>
                <w:rFonts w:hint="eastAsia" w:ascii="宋体" w:hAnsi="宋体" w:cs="宋体"/>
                <w:spacing w:val="-6"/>
                <w:kern w:val="0"/>
              </w:rPr>
              <w:t>持有燃气经</w:t>
            </w:r>
            <w:bookmarkStart w:id="4" w:name="OLE_LINK7"/>
            <w:r>
              <w:rPr>
                <w:rFonts w:hint="eastAsia" w:ascii="宋体" w:hAnsi="宋体" w:cs="宋体"/>
                <w:spacing w:val="-6"/>
                <w:kern w:val="0"/>
              </w:rPr>
              <w:t>营企</w:t>
            </w:r>
            <w:bookmarkEnd w:id="4"/>
            <w:r>
              <w:rPr>
                <w:rFonts w:hint="eastAsia" w:ascii="宋体" w:hAnsi="宋体" w:cs="宋体"/>
                <w:spacing w:val="-6"/>
                <w:kern w:val="0"/>
              </w:rPr>
              <w:t>业从业人员合格证的</w:t>
            </w:r>
            <w:bookmarkStart w:id="5" w:name="OLE_LINK6"/>
            <w:r>
              <w:rPr>
                <w:rFonts w:hint="eastAsia" w:ascii="宋体" w:hAnsi="宋体" w:cs="宋体"/>
                <w:spacing w:val="-6"/>
                <w:kern w:val="0"/>
              </w:rPr>
              <w:t>，</w:t>
            </w:r>
            <w:bookmarkStart w:id="6" w:name="OLE_LINK8"/>
            <w:r>
              <w:rPr>
                <w:rFonts w:hint="eastAsia" w:ascii="宋体" w:hAnsi="宋体" w:cs="宋体"/>
                <w:spacing w:val="-6"/>
                <w:kern w:val="0"/>
              </w:rPr>
              <w:t>并定期参加继续教育的，</w:t>
            </w:r>
            <w:bookmarkEnd w:id="5"/>
            <w:bookmarkEnd w:id="6"/>
            <w:r>
              <w:rPr>
                <w:rFonts w:hint="eastAsia" w:ascii="宋体" w:hAnsi="宋体" w:cs="宋体"/>
                <w:spacing w:val="-6"/>
                <w:kern w:val="0"/>
              </w:rPr>
              <w:t>得</w:t>
            </w:r>
            <w:r>
              <w:rPr>
                <w:rFonts w:ascii="宋体" w:hAnsi="宋体" w:cs="宋体"/>
                <w:spacing w:val="-6"/>
                <w:kern w:val="0"/>
              </w:rPr>
              <w:t>1</w:t>
            </w:r>
            <w:r>
              <w:rPr>
                <w:rFonts w:hint="eastAsia" w:ascii="宋体" w:hAnsi="宋体" w:cs="宋体"/>
                <w:spacing w:val="-6"/>
                <w:kern w:val="0"/>
              </w:rPr>
              <w:t>分；</w:t>
            </w:r>
            <w:r>
              <w:rPr>
                <w:rFonts w:ascii="宋体" w:hAnsi="宋体" w:cs="宋体"/>
                <w:spacing w:val="-6"/>
                <w:kern w:val="0"/>
              </w:rPr>
              <w:t xml:space="preserve"> </w:t>
            </w:r>
            <w:r>
              <w:rPr>
                <w:rFonts w:ascii="宋体" w:hAnsi="宋体" w:cs="宋体"/>
                <w:spacing w:val="-6"/>
                <w:kern w:val="0"/>
              </w:rPr>
              <w:br w:type="textWrapping"/>
            </w:r>
            <w:r>
              <w:rPr>
                <w:rFonts w:hint="eastAsia" w:ascii="宋体" w:hAnsi="宋体" w:cs="宋体"/>
                <w:spacing w:val="-6"/>
                <w:kern w:val="0"/>
              </w:rPr>
              <w:t>（</w:t>
            </w:r>
            <w:r>
              <w:rPr>
                <w:rFonts w:ascii="宋体" w:hAnsi="宋体" w:cs="宋体"/>
                <w:spacing w:val="-6"/>
                <w:kern w:val="0"/>
              </w:rPr>
              <w:t>7</w:t>
            </w:r>
            <w:r>
              <w:rPr>
                <w:rFonts w:hint="eastAsia" w:ascii="宋体" w:hAnsi="宋体" w:cs="宋体"/>
                <w:spacing w:val="-6"/>
                <w:kern w:val="0"/>
              </w:rPr>
              <w:t>）特种作业人员、特种设备作业人员由具有资质的培训机构进行专门的安全技术和操作技能的培训和考核，取得相应资格证书，并按相关要求复审的，得</w:t>
            </w:r>
            <w:r>
              <w:rPr>
                <w:rFonts w:ascii="宋体" w:hAnsi="宋体" w:cs="宋体"/>
                <w:spacing w:val="-6"/>
                <w:kern w:val="0"/>
              </w:rPr>
              <w:t>1</w:t>
            </w:r>
            <w:r>
              <w:rPr>
                <w:rFonts w:hint="eastAsia" w:ascii="宋体" w:hAnsi="宋体" w:cs="宋体"/>
                <w:spacing w:val="-6"/>
                <w:kern w:val="0"/>
              </w:rPr>
              <w:t>分。</w:t>
            </w:r>
          </w:p>
          <w:p>
            <w:pPr>
              <w:snapToGrid w:val="0"/>
              <w:spacing w:line="240" w:lineRule="atLeast"/>
              <w:ind w:firstLine="198" w:firstLineChars="100"/>
              <w:jc w:val="left"/>
              <w:textAlignment w:val="center"/>
              <w:rPr>
                <w:rFonts w:ascii="宋体" w:cs="宋体"/>
                <w:spacing w:val="-6"/>
              </w:rPr>
            </w:pPr>
            <w:r>
              <w:rPr>
                <w:rFonts w:hint="eastAsia" w:ascii="宋体" w:hAnsi="宋体" w:cs="宋体"/>
                <w:spacing w:val="-6"/>
                <w:kern w:val="0"/>
              </w:rPr>
              <w:t>注：（</w:t>
            </w:r>
            <w:r>
              <w:rPr>
                <w:rFonts w:ascii="宋体" w:hAnsi="宋体" w:cs="宋体"/>
                <w:spacing w:val="-6"/>
                <w:kern w:val="0"/>
              </w:rPr>
              <w:t>4</w:t>
            </w:r>
            <w:r>
              <w:rPr>
                <w:rFonts w:hint="eastAsia" w:ascii="宋体" w:hAnsi="宋体" w:cs="宋体"/>
                <w:spacing w:val="-6"/>
                <w:kern w:val="0"/>
              </w:rPr>
              <w:t>）（</w:t>
            </w:r>
            <w:r>
              <w:rPr>
                <w:rFonts w:ascii="宋体" w:hAnsi="宋体" w:cs="宋体"/>
                <w:spacing w:val="-6"/>
                <w:kern w:val="0"/>
              </w:rPr>
              <w:t>5</w:t>
            </w:r>
            <w:r>
              <w:rPr>
                <w:rFonts w:hint="eastAsia" w:ascii="宋体" w:hAnsi="宋体" w:cs="宋体"/>
                <w:spacing w:val="-6"/>
                <w:kern w:val="0"/>
              </w:rPr>
              <w:t>）（</w:t>
            </w:r>
            <w:r>
              <w:rPr>
                <w:rFonts w:ascii="宋体" w:hAnsi="宋体" w:cs="宋体"/>
                <w:spacing w:val="-6"/>
                <w:kern w:val="0"/>
              </w:rPr>
              <w:t>6</w:t>
            </w:r>
            <w:r>
              <w:rPr>
                <w:rFonts w:hint="eastAsia" w:ascii="宋体" w:hAnsi="宋体" w:cs="宋体"/>
                <w:spacing w:val="-6"/>
                <w:kern w:val="0"/>
              </w:rPr>
              <w:t>）（</w:t>
            </w:r>
            <w:r>
              <w:rPr>
                <w:rFonts w:ascii="宋体" w:hAnsi="宋体" w:cs="宋体"/>
                <w:spacing w:val="-6"/>
                <w:kern w:val="0"/>
              </w:rPr>
              <w:t>7</w:t>
            </w:r>
            <w:r>
              <w:rPr>
                <w:rFonts w:hint="eastAsia" w:ascii="宋体" w:hAnsi="宋体" w:cs="宋体"/>
                <w:spacing w:val="-6"/>
                <w:kern w:val="0"/>
              </w:rPr>
              <w:t>）小项存在</w:t>
            </w:r>
            <w:r>
              <w:rPr>
                <w:rFonts w:ascii="宋体" w:hAnsi="宋体" w:cs="宋体"/>
                <w:spacing w:val="-6"/>
                <w:kern w:val="0"/>
              </w:rPr>
              <w:t>1</w:t>
            </w:r>
            <w:r>
              <w:rPr>
                <w:rFonts w:hint="eastAsia" w:ascii="宋体" w:hAnsi="宋体" w:cs="宋体"/>
                <w:spacing w:val="-6"/>
                <w:kern w:val="0"/>
              </w:rPr>
              <w:t>人未按要求取证的，该小项不得分。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13</w:t>
            </w:r>
          </w:p>
        </w:tc>
        <w:tc>
          <w:tcPr>
            <w:tcW w:w="2218" w:type="dxa"/>
            <w:vMerge w:val="restart"/>
            <w:vAlign w:val="center"/>
          </w:tcPr>
          <w:p>
            <w:pPr>
              <w:snapToGrid w:val="0"/>
              <w:spacing w:line="240" w:lineRule="atLeast"/>
              <w:jc w:val="center"/>
              <w:rPr>
                <w:rFonts w:ascii="宋体" w:cs="宋体"/>
                <w:kern w:val="0"/>
              </w:rPr>
            </w:pPr>
            <w:r>
              <w:rPr>
                <w:rFonts w:hint="eastAsia" w:ascii="宋体" w:hAnsi="宋体" w:cs="宋体"/>
                <w:kern w:val="0"/>
              </w:rPr>
              <w:t>三、安全投入、生产管理及应急能力</w:t>
            </w:r>
          </w:p>
          <w:p>
            <w:pPr>
              <w:snapToGrid w:val="0"/>
              <w:spacing w:line="240" w:lineRule="atLeast"/>
              <w:jc w:val="center"/>
              <w:rPr>
                <w:rFonts w:ascii="宋体" w:cs="宋体"/>
                <w:kern w:val="0"/>
              </w:rPr>
            </w:pPr>
            <w:r>
              <w:rPr>
                <w:rFonts w:hint="eastAsia" w:ascii="宋体" w:hAnsi="宋体" w:cs="宋体"/>
                <w:kern w:val="0"/>
              </w:rPr>
              <w:t>（</w:t>
            </w:r>
            <w:r>
              <w:rPr>
                <w:rFonts w:ascii="宋体" w:hAnsi="宋体" w:cs="宋体"/>
                <w:kern w:val="0"/>
              </w:rPr>
              <w:t>49</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安全教育</w:t>
            </w:r>
          </w:p>
          <w:p>
            <w:pPr>
              <w:snapToGrid w:val="0"/>
              <w:spacing w:line="240" w:lineRule="atLeast"/>
              <w:jc w:val="center"/>
              <w:textAlignment w:val="center"/>
              <w:rPr>
                <w:rFonts w:ascii="宋体" w:cs="宋体"/>
                <w:kern w:val="0"/>
              </w:rPr>
            </w:pPr>
            <w:r>
              <w:rPr>
                <w:rFonts w:hint="eastAsia" w:ascii="宋体" w:hAnsi="宋体" w:cs="宋体"/>
                <w:kern w:val="0"/>
              </w:rPr>
              <w:t>培训</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）对从业人员定期进行安全生产、职业卫生和应急救援教育和培训，得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）对新员工进行三级安全教育，安全教育培训内容和时间符合《生产经营单位安全培训规定》，得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）从业人员在本单位内调整工作岗位或离岗一年以上重新上岗时，重新接受部门和班组级的安全教育培训的，得</w:t>
            </w:r>
            <w:r>
              <w:rPr>
                <w:rFonts w:ascii="宋体" w:hAnsi="宋体" w:cs="宋体"/>
                <w:kern w:val="0"/>
              </w:rPr>
              <w:t>0.5</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14</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保险</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企业投保安全生产责任保险的，得</w:t>
            </w:r>
            <w:r>
              <w:rPr>
                <w:rFonts w:ascii="宋体" w:hAnsi="宋体" w:cs="宋体"/>
                <w:kern w:val="0"/>
              </w:rPr>
              <w:t>1</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15</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设备设施安全管理</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）具有完善的安全技术档案及设备台账，有完善的设备维护保养制度和操作规程，并切实落实，有完整记录，得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压力容器、燃气压力管道等特种设备，以及相关安全附件仪器仪表（如安全阀、压力表等）等按规定建立了设备台账，具有完善的安全技术档案，特种设备落实了法定两检（安装监检和定期检验）并检验合格，安全附件仪器仪表定期校验并合格；按照相关安全技术规范要求落实了特种设备年度检查和日常隐患排查治理，得</w:t>
            </w:r>
            <w:r>
              <w:rPr>
                <w:rFonts w:ascii="宋体" w:hAnsi="宋体" w:cs="宋体"/>
                <w:kern w:val="0"/>
              </w:rPr>
              <w:t>1</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16</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燃气设施</w:t>
            </w:r>
          </w:p>
          <w:p>
            <w:pPr>
              <w:snapToGrid w:val="0"/>
              <w:spacing w:line="240" w:lineRule="atLeast"/>
              <w:jc w:val="center"/>
              <w:textAlignment w:val="center"/>
              <w:rPr>
                <w:rFonts w:ascii="宋体" w:cs="宋体"/>
                <w:kern w:val="0"/>
              </w:rPr>
            </w:pPr>
            <w:r>
              <w:rPr>
                <w:rFonts w:hint="eastAsia" w:ascii="宋体" w:hAnsi="宋体" w:cs="宋体"/>
                <w:kern w:val="0"/>
              </w:rPr>
              <w:t>保护</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）制定第三方施工管控措施并按制度执行的，得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）按规范要求在燃气设施周边设置安全警示标志，在安全保护范围周边设置安全保护标志，得</w:t>
            </w:r>
            <w:r>
              <w:rPr>
                <w:rFonts w:ascii="宋体" w:hAnsi="宋体" w:cs="宋体"/>
                <w:kern w:val="0"/>
              </w:rPr>
              <w:t>1</w:t>
            </w:r>
            <w:r>
              <w:rPr>
                <w:rFonts w:hint="eastAsia" w:ascii="宋体" w:hAnsi="宋体" w:cs="宋体"/>
                <w:kern w:val="0"/>
              </w:rPr>
              <w:t>分；缺一项扣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）按相关要求对燃气设施进行巡查，并建立巡检台账的，得</w:t>
            </w:r>
            <w:r>
              <w:rPr>
                <w:rFonts w:ascii="宋体" w:hAnsi="宋体" w:cs="宋体"/>
                <w:kern w:val="0"/>
              </w:rPr>
              <w:t>1</w:t>
            </w:r>
            <w:r>
              <w:rPr>
                <w:rFonts w:hint="eastAsia" w:ascii="宋体" w:hAnsi="宋体" w:cs="宋体"/>
                <w:kern w:val="0"/>
              </w:rPr>
              <w:t>分。定期对燃气设施进行检测、维修和维护，确保燃气设施的安全运行的，得</w:t>
            </w:r>
            <w:r>
              <w:rPr>
                <w:rFonts w:ascii="宋体" w:hAnsi="宋体" w:cs="宋体"/>
                <w:kern w:val="0"/>
              </w:rPr>
              <w:t>1</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17</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网络信息安全保护</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snapToGrid w:val="0"/>
              <w:spacing w:line="240" w:lineRule="atLeast"/>
              <w:jc w:val="left"/>
              <w:textAlignment w:val="center"/>
              <w:rPr>
                <w:rFonts w:ascii="宋体" w:cs="宋体"/>
                <w:kern w:val="0"/>
              </w:rPr>
            </w:pPr>
            <w:r>
              <w:rPr>
                <w:rFonts w:hint="eastAsia" w:ascii="宋体" w:hAnsi="宋体" w:cs="宋体"/>
                <w:kern w:val="0"/>
              </w:rPr>
              <w:t>按照《信息系统安全等级保护实施指南》和《信息安全等级保护管理办法》等有关要求，开展信息系统安全保护等级测评和备案的，得</w:t>
            </w:r>
            <w:r>
              <w:rPr>
                <w:rFonts w:ascii="宋体" w:hAnsi="宋体" w:cs="宋体"/>
                <w:kern w:val="0"/>
              </w:rPr>
              <w:t>2</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18</w:t>
            </w:r>
          </w:p>
        </w:tc>
        <w:tc>
          <w:tcPr>
            <w:tcW w:w="2218" w:type="dxa"/>
            <w:vAlign w:val="center"/>
          </w:tcPr>
          <w:p>
            <w:pPr>
              <w:snapToGrid w:val="0"/>
              <w:spacing w:line="240" w:lineRule="atLeast"/>
              <w:jc w:val="center"/>
              <w:rPr>
                <w:rFonts w:ascii="宋体" w:cs="宋体"/>
                <w:kern w:val="0"/>
              </w:rPr>
            </w:pPr>
            <w:r>
              <w:rPr>
                <w:rFonts w:hint="eastAsia" w:ascii="宋体" w:hAnsi="宋体" w:cs="宋体"/>
                <w:kern w:val="0"/>
              </w:rPr>
              <w:t>三、安全投入、生产管理及应急能力</w:t>
            </w:r>
          </w:p>
          <w:p>
            <w:pPr>
              <w:snapToGrid w:val="0"/>
              <w:spacing w:line="240" w:lineRule="atLeast"/>
              <w:jc w:val="center"/>
              <w:rPr>
                <w:rFonts w:ascii="宋体" w:cs="宋体"/>
                <w:kern w:val="0"/>
              </w:rPr>
            </w:pPr>
            <w:r>
              <w:rPr>
                <w:rFonts w:hint="eastAsia" w:ascii="宋体" w:hAnsi="宋体" w:cs="宋体"/>
                <w:kern w:val="0"/>
              </w:rPr>
              <w:t>（</w:t>
            </w:r>
            <w:r>
              <w:rPr>
                <w:rFonts w:ascii="宋体" w:hAnsi="宋体" w:cs="宋体"/>
                <w:kern w:val="0"/>
              </w:rPr>
              <w:t>49</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智慧燃气</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10</w:t>
            </w:r>
          </w:p>
        </w:tc>
        <w:tc>
          <w:tcPr>
            <w:tcW w:w="8220" w:type="dxa"/>
            <w:vAlign w:val="center"/>
          </w:tcPr>
          <w:p>
            <w:pPr>
              <w:snapToGrid w:val="0"/>
              <w:spacing w:line="240" w:lineRule="atLeast"/>
              <w:jc w:val="left"/>
              <w:textAlignment w:val="center"/>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）企业级</w:t>
            </w:r>
            <w:r>
              <w:rPr>
                <w:rFonts w:ascii="宋体" w:hAnsi="宋体" w:cs="宋体"/>
                <w:kern w:val="0"/>
              </w:rPr>
              <w:t>SCADA</w:t>
            </w:r>
            <w:r>
              <w:rPr>
                <w:rFonts w:hint="eastAsia" w:ascii="宋体" w:hAnsi="宋体" w:cs="宋体"/>
                <w:kern w:val="0"/>
              </w:rPr>
              <w:t>系统（</w:t>
            </w:r>
            <w:r>
              <w:rPr>
                <w:rFonts w:ascii="宋体" w:hAnsi="宋体" w:cs="宋体"/>
                <w:kern w:val="0"/>
              </w:rPr>
              <w:t>3</w:t>
            </w:r>
            <w:r>
              <w:rPr>
                <w:rFonts w:hint="eastAsia" w:ascii="宋体" w:hAnsi="宋体" w:cs="宋体"/>
                <w:kern w:val="0"/>
              </w:rPr>
              <w:t>分）</w:t>
            </w:r>
            <w:r>
              <w:rPr>
                <w:rFonts w:ascii="宋体" w:cs="宋体"/>
                <w:kern w:val="0"/>
              </w:rPr>
              <w:br w:type="textWrapping"/>
            </w:r>
            <w:r>
              <w:rPr>
                <w:rFonts w:ascii="宋体" w:hAnsi="宋体" w:cs="宋体"/>
                <w:kern w:val="0"/>
              </w:rPr>
              <w:t>1</w:t>
            </w:r>
            <w:r>
              <w:rPr>
                <w:rFonts w:hint="eastAsia" w:ascii="宋体" w:hAnsi="宋体" w:cs="宋体"/>
                <w:kern w:val="0"/>
              </w:rPr>
              <w:t>）建立企业级</w:t>
            </w:r>
            <w:r>
              <w:rPr>
                <w:rFonts w:ascii="宋体" w:hAnsi="宋体" w:cs="宋体"/>
                <w:kern w:val="0"/>
              </w:rPr>
              <w:t>SCADA</w:t>
            </w:r>
            <w:r>
              <w:rPr>
                <w:rFonts w:hint="eastAsia" w:ascii="宋体" w:hAnsi="宋体" w:cs="宋体"/>
                <w:kern w:val="0"/>
              </w:rPr>
              <w:t>系统并正常使用的，得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2</w:t>
            </w:r>
            <w:r>
              <w:rPr>
                <w:rFonts w:hint="eastAsia" w:ascii="宋体" w:hAnsi="宋体" w:cs="宋体"/>
                <w:kern w:val="0"/>
              </w:rPr>
              <w:t>）所有场站均接入</w:t>
            </w:r>
            <w:r>
              <w:rPr>
                <w:rFonts w:ascii="宋体" w:hAnsi="宋体" w:cs="宋体"/>
                <w:kern w:val="0"/>
              </w:rPr>
              <w:t>SCADA</w:t>
            </w:r>
            <w:r>
              <w:rPr>
                <w:rFonts w:hint="eastAsia" w:ascii="宋体" w:hAnsi="宋体" w:cs="宋体"/>
                <w:kern w:val="0"/>
              </w:rPr>
              <w:t>系统的，得</w:t>
            </w:r>
            <w:r>
              <w:rPr>
                <w:rFonts w:ascii="宋体" w:hAnsi="宋体" w:cs="宋体"/>
                <w:kern w:val="0"/>
              </w:rPr>
              <w:t>1</w:t>
            </w:r>
            <w:r>
              <w:rPr>
                <w:rFonts w:hint="eastAsia" w:ascii="宋体" w:hAnsi="宋体" w:cs="宋体"/>
                <w:kern w:val="0"/>
              </w:rPr>
              <w:t>分；否则不得分；</w:t>
            </w:r>
            <w:r>
              <w:rPr>
                <w:rFonts w:ascii="宋体" w:cs="宋体"/>
                <w:kern w:val="0"/>
              </w:rPr>
              <w:br w:type="textWrapping"/>
            </w:r>
            <w:r>
              <w:rPr>
                <w:rFonts w:ascii="宋体" w:hAnsi="宋体" w:cs="宋体"/>
                <w:kern w:val="0"/>
              </w:rPr>
              <w:t>3</w:t>
            </w:r>
            <w:r>
              <w:rPr>
                <w:rFonts w:hint="eastAsia" w:ascii="宋体" w:hAnsi="宋体" w:cs="宋体"/>
                <w:kern w:val="0"/>
              </w:rPr>
              <w:t>）</w:t>
            </w:r>
            <w:r>
              <w:rPr>
                <w:rFonts w:ascii="宋体" w:hAnsi="宋体" w:cs="宋体"/>
                <w:kern w:val="0"/>
              </w:rPr>
              <w:t>80%</w:t>
            </w:r>
            <w:r>
              <w:rPr>
                <w:rFonts w:hint="eastAsia" w:ascii="宋体" w:hAnsi="宋体" w:cs="宋体"/>
                <w:kern w:val="0"/>
              </w:rPr>
              <w:t>（含）以上用户端信息（流量表数据、报警器和自动切断阀信号等）接入</w:t>
            </w:r>
            <w:r>
              <w:rPr>
                <w:rFonts w:ascii="宋体" w:hAnsi="宋体" w:cs="宋体"/>
                <w:kern w:val="0"/>
              </w:rPr>
              <w:t>SCADA</w:t>
            </w:r>
            <w:r>
              <w:rPr>
                <w:rFonts w:hint="eastAsia" w:ascii="宋体" w:hAnsi="宋体" w:cs="宋体"/>
                <w:kern w:val="0"/>
              </w:rPr>
              <w:t>系统的，得</w:t>
            </w:r>
            <w:r>
              <w:rPr>
                <w:rFonts w:ascii="宋体" w:hAnsi="宋体" w:cs="宋体"/>
                <w:kern w:val="0"/>
              </w:rPr>
              <w:t>1</w:t>
            </w:r>
            <w:r>
              <w:rPr>
                <w:rFonts w:hint="eastAsia" w:ascii="宋体" w:hAnsi="宋体" w:cs="宋体"/>
                <w:kern w:val="0"/>
              </w:rPr>
              <w:t>分；</w:t>
            </w:r>
            <w:r>
              <w:rPr>
                <w:rFonts w:ascii="宋体" w:hAnsi="宋体" w:cs="宋体"/>
                <w:kern w:val="0"/>
              </w:rPr>
              <w:t>50%</w:t>
            </w:r>
            <w:r>
              <w:rPr>
                <w:rFonts w:hint="eastAsia" w:ascii="宋体" w:hAnsi="宋体" w:cs="宋体"/>
                <w:kern w:val="0"/>
              </w:rPr>
              <w:t>（含）</w:t>
            </w:r>
            <w:r>
              <w:rPr>
                <w:rFonts w:ascii="宋体" w:hAnsi="宋体" w:cs="宋体"/>
                <w:kern w:val="0"/>
              </w:rPr>
              <w:t>-80%</w:t>
            </w:r>
            <w:r>
              <w:rPr>
                <w:rFonts w:hint="eastAsia" w:ascii="宋体" w:hAnsi="宋体" w:cs="宋体"/>
                <w:kern w:val="0"/>
              </w:rPr>
              <w:t>以上用户端信息接入</w:t>
            </w:r>
            <w:r>
              <w:rPr>
                <w:rFonts w:ascii="宋体" w:hAnsi="宋体" w:cs="宋体"/>
                <w:kern w:val="0"/>
              </w:rPr>
              <w:t>SCADA</w:t>
            </w:r>
            <w:r>
              <w:rPr>
                <w:rFonts w:hint="eastAsia" w:ascii="宋体" w:hAnsi="宋体" w:cs="宋体"/>
                <w:kern w:val="0"/>
              </w:rPr>
              <w:t>系统的，得</w:t>
            </w:r>
            <w:r>
              <w:rPr>
                <w:rFonts w:ascii="宋体" w:hAnsi="宋体" w:cs="宋体"/>
                <w:kern w:val="0"/>
              </w:rPr>
              <w:t>0.5</w:t>
            </w:r>
            <w:r>
              <w:rPr>
                <w:rFonts w:hint="eastAsia" w:ascii="宋体" w:hAnsi="宋体" w:cs="宋体"/>
                <w:kern w:val="0"/>
              </w:rPr>
              <w:t>分；</w:t>
            </w:r>
            <w:r>
              <w:rPr>
                <w:rFonts w:ascii="宋体" w:hAnsi="宋体" w:cs="宋体"/>
                <w:kern w:val="0"/>
              </w:rPr>
              <w:t>20%</w:t>
            </w:r>
            <w:r>
              <w:rPr>
                <w:rFonts w:hint="eastAsia" w:ascii="宋体" w:hAnsi="宋体" w:cs="宋体"/>
                <w:kern w:val="0"/>
              </w:rPr>
              <w:t>（含）</w:t>
            </w:r>
            <w:r>
              <w:rPr>
                <w:rFonts w:ascii="宋体" w:hAnsi="宋体" w:cs="宋体"/>
                <w:kern w:val="0"/>
              </w:rPr>
              <w:t>-50%</w:t>
            </w:r>
            <w:r>
              <w:rPr>
                <w:rFonts w:hint="eastAsia" w:ascii="宋体" w:hAnsi="宋体" w:cs="宋体"/>
                <w:kern w:val="0"/>
              </w:rPr>
              <w:t>以上用户端信息接入</w:t>
            </w:r>
            <w:r>
              <w:rPr>
                <w:rFonts w:ascii="宋体" w:hAnsi="宋体" w:cs="宋体"/>
                <w:kern w:val="0"/>
              </w:rPr>
              <w:t>SCADA</w:t>
            </w:r>
            <w:r>
              <w:rPr>
                <w:rFonts w:hint="eastAsia" w:ascii="宋体" w:hAnsi="宋体" w:cs="宋体"/>
                <w:kern w:val="0"/>
              </w:rPr>
              <w:t>系统的，得</w:t>
            </w:r>
            <w:r>
              <w:rPr>
                <w:rFonts w:ascii="宋体" w:hAnsi="宋体" w:cs="宋体"/>
                <w:kern w:val="0"/>
              </w:rPr>
              <w:t>0.2</w:t>
            </w:r>
            <w:r>
              <w:rPr>
                <w:rFonts w:hint="eastAsia" w:ascii="宋体" w:hAnsi="宋体" w:cs="宋体"/>
                <w:kern w:val="0"/>
              </w:rPr>
              <w:t>分；</w:t>
            </w:r>
            <w:r>
              <w:rPr>
                <w:rFonts w:ascii="宋体" w:hAnsi="宋体" w:cs="宋体"/>
                <w:kern w:val="0"/>
              </w:rPr>
              <w:t>20%</w:t>
            </w:r>
            <w:r>
              <w:rPr>
                <w:rFonts w:hint="eastAsia" w:ascii="宋体" w:hAnsi="宋体" w:cs="宋体"/>
                <w:kern w:val="0"/>
              </w:rPr>
              <w:t>以下用户端信息接入</w:t>
            </w:r>
            <w:r>
              <w:rPr>
                <w:rFonts w:ascii="宋体" w:hAnsi="宋体" w:cs="宋体"/>
                <w:kern w:val="0"/>
              </w:rPr>
              <w:t>SCADA</w:t>
            </w:r>
            <w:r>
              <w:rPr>
                <w:rFonts w:hint="eastAsia" w:ascii="宋体" w:hAnsi="宋体" w:cs="宋体"/>
                <w:kern w:val="0"/>
              </w:rPr>
              <w:t>系统的，不得分。</w:t>
            </w:r>
          </w:p>
          <w:p>
            <w:pPr>
              <w:snapToGrid w:val="0"/>
              <w:spacing w:line="240" w:lineRule="atLeast"/>
              <w:jc w:val="left"/>
              <w:textAlignment w:val="center"/>
              <w:rPr>
                <w:rFonts w:ascii="宋体" w:hAnsi="宋体" w:cs="宋体"/>
                <w:kern w:val="0"/>
              </w:rPr>
            </w:pPr>
            <w:r>
              <w:rPr>
                <w:rFonts w:hint="eastAsia" w:ascii="宋体" w:hAnsi="宋体" w:cs="宋体"/>
                <w:kern w:val="0"/>
              </w:rPr>
              <w:t>注：只有监视没有控制功能的，扣</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GIS</w:t>
            </w:r>
            <w:r>
              <w:rPr>
                <w:rFonts w:hint="eastAsia" w:ascii="宋体" w:hAnsi="宋体" w:cs="宋体"/>
                <w:kern w:val="0"/>
              </w:rPr>
              <w:t>系统（</w:t>
            </w:r>
            <w:r>
              <w:rPr>
                <w:rFonts w:ascii="宋体" w:hAnsi="宋体" w:cs="宋体"/>
                <w:kern w:val="0"/>
              </w:rPr>
              <w:t>3</w:t>
            </w:r>
            <w:r>
              <w:rPr>
                <w:rFonts w:hint="eastAsia" w:ascii="宋体" w:hAnsi="宋体" w:cs="宋体"/>
                <w:kern w:val="0"/>
              </w:rPr>
              <w:t>分）</w:t>
            </w:r>
            <w:r>
              <w:rPr>
                <w:rFonts w:ascii="宋体" w:cs="宋体"/>
                <w:kern w:val="0"/>
              </w:rPr>
              <w:br w:type="textWrapping"/>
            </w:r>
            <w:r>
              <w:rPr>
                <w:rFonts w:ascii="宋体" w:hAnsi="宋体" w:cs="宋体"/>
                <w:kern w:val="0"/>
              </w:rPr>
              <w:t>1</w:t>
            </w:r>
            <w:r>
              <w:rPr>
                <w:rFonts w:hint="eastAsia" w:ascii="宋体" w:hAnsi="宋体" w:cs="宋体"/>
                <w:kern w:val="0"/>
              </w:rPr>
              <w:t>）具有</w:t>
            </w:r>
            <w:r>
              <w:rPr>
                <w:rFonts w:ascii="宋体" w:hAnsi="宋体" w:cs="宋体"/>
                <w:kern w:val="0"/>
              </w:rPr>
              <w:t>GIS</w:t>
            </w:r>
            <w:r>
              <w:rPr>
                <w:rFonts w:hint="eastAsia" w:ascii="宋体" w:hAnsi="宋体" w:cs="宋体"/>
                <w:kern w:val="0"/>
              </w:rPr>
              <w:t>系统，得</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2</w:t>
            </w:r>
            <w:r>
              <w:rPr>
                <w:rFonts w:hint="eastAsia" w:ascii="宋体" w:hAnsi="宋体" w:cs="宋体"/>
                <w:kern w:val="0"/>
              </w:rPr>
              <w:t>）</w:t>
            </w:r>
            <w:r>
              <w:rPr>
                <w:rFonts w:ascii="宋体" w:hAnsi="宋体" w:cs="宋体"/>
                <w:kern w:val="0"/>
              </w:rPr>
              <w:t>80%</w:t>
            </w:r>
            <w:r>
              <w:rPr>
                <w:rFonts w:hint="eastAsia" w:ascii="宋体" w:hAnsi="宋体" w:cs="宋体"/>
                <w:kern w:val="0"/>
              </w:rPr>
              <w:t>（含）以上燃气管道</w:t>
            </w:r>
            <w:r>
              <w:rPr>
                <w:rFonts w:hint="eastAsia" w:ascii="宋体" w:hAnsi="宋体" w:cs="宋体"/>
              </w:rPr>
              <w:t>测绘并录入</w:t>
            </w:r>
            <w:r>
              <w:rPr>
                <w:rFonts w:ascii="宋体" w:hAnsi="宋体" w:cs="宋体"/>
                <w:kern w:val="0"/>
              </w:rPr>
              <w:t>GIS</w:t>
            </w:r>
            <w:r>
              <w:rPr>
                <w:rFonts w:hint="eastAsia" w:ascii="宋体" w:hAnsi="宋体" w:cs="宋体"/>
                <w:kern w:val="0"/>
              </w:rPr>
              <w:t>系统的，得</w:t>
            </w:r>
            <w:r>
              <w:rPr>
                <w:rFonts w:ascii="宋体" w:hAnsi="宋体" w:cs="宋体"/>
                <w:kern w:val="0"/>
              </w:rPr>
              <w:t>2</w:t>
            </w:r>
            <w:r>
              <w:rPr>
                <w:rFonts w:hint="eastAsia" w:ascii="宋体" w:hAnsi="宋体" w:cs="宋体"/>
                <w:kern w:val="0"/>
              </w:rPr>
              <w:t>分；</w:t>
            </w:r>
            <w:r>
              <w:rPr>
                <w:rFonts w:ascii="宋体" w:hAnsi="宋体" w:cs="宋体"/>
                <w:kern w:val="0"/>
              </w:rPr>
              <w:t>50%</w:t>
            </w:r>
            <w:r>
              <w:rPr>
                <w:rFonts w:hint="eastAsia" w:ascii="宋体" w:hAnsi="宋体" w:cs="宋体"/>
                <w:kern w:val="0"/>
              </w:rPr>
              <w:t>（含）</w:t>
            </w:r>
            <w:r>
              <w:rPr>
                <w:rFonts w:ascii="宋体" w:hAnsi="宋体" w:cs="宋体"/>
                <w:kern w:val="0"/>
              </w:rPr>
              <w:t>-80%</w:t>
            </w:r>
            <w:r>
              <w:rPr>
                <w:rFonts w:hint="eastAsia" w:ascii="宋体" w:hAnsi="宋体" w:cs="宋体"/>
                <w:kern w:val="0"/>
              </w:rPr>
              <w:t>以上燃气管道</w:t>
            </w:r>
            <w:r>
              <w:rPr>
                <w:rFonts w:hint="eastAsia" w:ascii="宋体" w:hAnsi="宋体" w:cs="宋体"/>
              </w:rPr>
              <w:t>测绘并录入</w:t>
            </w:r>
            <w:r>
              <w:rPr>
                <w:rFonts w:ascii="宋体" w:hAnsi="宋体" w:cs="宋体"/>
                <w:kern w:val="0"/>
              </w:rPr>
              <w:t>GIS</w:t>
            </w:r>
            <w:r>
              <w:rPr>
                <w:rFonts w:hint="eastAsia" w:ascii="宋体" w:hAnsi="宋体" w:cs="宋体"/>
                <w:kern w:val="0"/>
              </w:rPr>
              <w:t>系统的，得</w:t>
            </w:r>
            <w:r>
              <w:rPr>
                <w:rFonts w:ascii="宋体" w:hAnsi="宋体" w:cs="宋体"/>
                <w:kern w:val="0"/>
              </w:rPr>
              <w:t>1</w:t>
            </w:r>
            <w:r>
              <w:rPr>
                <w:rFonts w:hint="eastAsia" w:ascii="宋体" w:hAnsi="宋体" w:cs="宋体"/>
                <w:kern w:val="0"/>
              </w:rPr>
              <w:t>分；</w:t>
            </w:r>
            <w:r>
              <w:rPr>
                <w:rFonts w:ascii="宋体" w:hAnsi="宋体" w:cs="宋体"/>
                <w:kern w:val="0"/>
              </w:rPr>
              <w:t>20%</w:t>
            </w:r>
            <w:r>
              <w:rPr>
                <w:rFonts w:hint="eastAsia" w:ascii="宋体" w:hAnsi="宋体" w:cs="宋体"/>
                <w:kern w:val="0"/>
              </w:rPr>
              <w:t>（含）</w:t>
            </w:r>
            <w:r>
              <w:rPr>
                <w:rFonts w:ascii="宋体" w:hAnsi="宋体" w:cs="宋体"/>
                <w:kern w:val="0"/>
              </w:rPr>
              <w:t>-50%</w:t>
            </w:r>
            <w:r>
              <w:rPr>
                <w:rFonts w:hint="eastAsia" w:ascii="宋体" w:hAnsi="宋体" w:cs="宋体"/>
                <w:kern w:val="0"/>
              </w:rPr>
              <w:t>燃气管道</w:t>
            </w:r>
            <w:r>
              <w:rPr>
                <w:rFonts w:hint="eastAsia" w:ascii="宋体" w:hAnsi="宋体" w:cs="宋体"/>
              </w:rPr>
              <w:t>测绘并录入</w:t>
            </w:r>
            <w:r>
              <w:rPr>
                <w:rFonts w:ascii="宋体" w:hAnsi="宋体" w:cs="宋体"/>
                <w:kern w:val="0"/>
              </w:rPr>
              <w:t>GIS</w:t>
            </w:r>
            <w:r>
              <w:rPr>
                <w:rFonts w:hint="eastAsia" w:ascii="宋体" w:hAnsi="宋体" w:cs="宋体"/>
                <w:kern w:val="0"/>
              </w:rPr>
              <w:t>系统，得</w:t>
            </w:r>
            <w:r>
              <w:rPr>
                <w:rFonts w:ascii="宋体" w:hAnsi="宋体" w:cs="宋体"/>
                <w:kern w:val="0"/>
              </w:rPr>
              <w:t>0.5</w:t>
            </w:r>
            <w:r>
              <w:rPr>
                <w:rFonts w:hint="eastAsia" w:ascii="宋体" w:hAnsi="宋体" w:cs="宋体"/>
                <w:kern w:val="0"/>
              </w:rPr>
              <w:t>分；</w:t>
            </w:r>
            <w:r>
              <w:rPr>
                <w:rFonts w:ascii="宋体" w:hAnsi="宋体" w:cs="宋体"/>
                <w:kern w:val="0"/>
              </w:rPr>
              <w:t>20%</w:t>
            </w:r>
            <w:r>
              <w:rPr>
                <w:rFonts w:hint="eastAsia" w:ascii="宋体" w:hAnsi="宋体" w:cs="宋体"/>
                <w:kern w:val="0"/>
              </w:rPr>
              <w:t>以下燃气管道</w:t>
            </w:r>
            <w:r>
              <w:rPr>
                <w:rFonts w:hint="eastAsia" w:ascii="宋体" w:hAnsi="宋体" w:cs="宋体"/>
              </w:rPr>
              <w:t>测绘并录入</w:t>
            </w:r>
            <w:r>
              <w:rPr>
                <w:rFonts w:ascii="宋体" w:hAnsi="宋体" w:cs="宋体"/>
                <w:kern w:val="0"/>
              </w:rPr>
              <w:t>GIS</w:t>
            </w:r>
            <w:r>
              <w:rPr>
                <w:rFonts w:hint="eastAsia" w:ascii="宋体" w:hAnsi="宋体" w:cs="宋体"/>
                <w:kern w:val="0"/>
              </w:rPr>
              <w:t>系统的，不得分。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）自动化程度符合《城镇燃气自动化系统技术规范（</w:t>
            </w:r>
            <w:r>
              <w:rPr>
                <w:rFonts w:ascii="宋体" w:hAnsi="宋体" w:cs="宋体"/>
                <w:kern w:val="0"/>
              </w:rPr>
              <w:t>CJJT 259-2016</w:t>
            </w:r>
            <w:r>
              <w:rPr>
                <w:rFonts w:hint="eastAsia" w:ascii="宋体" w:hAnsi="宋体" w:cs="宋体"/>
                <w:kern w:val="0"/>
              </w:rPr>
              <w:t>）》的，得</w:t>
            </w:r>
            <w:r>
              <w:rPr>
                <w:rFonts w:ascii="宋体" w:hAnsi="宋体" w:cs="宋体"/>
                <w:kern w:val="0"/>
              </w:rPr>
              <w:t>1</w:t>
            </w:r>
            <w:r>
              <w:rPr>
                <w:rFonts w:hint="eastAsia" w:ascii="宋体" w:hAnsi="宋体" w:cs="宋体"/>
                <w:kern w:val="0"/>
              </w:rPr>
              <w:t>分，不符合</w:t>
            </w:r>
            <w:r>
              <w:rPr>
                <w:rFonts w:ascii="宋体" w:hAnsi="宋体" w:cs="宋体"/>
                <w:kern w:val="0"/>
              </w:rPr>
              <w:t>1</w:t>
            </w:r>
            <w:r>
              <w:rPr>
                <w:rFonts w:hint="eastAsia" w:ascii="宋体" w:hAnsi="宋体" w:cs="宋体"/>
                <w:kern w:val="0"/>
              </w:rPr>
              <w:t>项扣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4</w:t>
            </w:r>
            <w:r>
              <w:rPr>
                <w:rFonts w:hint="eastAsia" w:ascii="宋体" w:hAnsi="宋体" w:cs="宋体"/>
                <w:kern w:val="0"/>
              </w:rPr>
              <w:t>）具有客户管理系统的，得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5</w:t>
            </w:r>
            <w:r>
              <w:rPr>
                <w:rFonts w:hint="eastAsia" w:ascii="宋体" w:hAnsi="宋体" w:cs="宋体"/>
                <w:kern w:val="0"/>
              </w:rPr>
              <w:t>）</w:t>
            </w:r>
            <w:r>
              <w:rPr>
                <w:rFonts w:ascii="宋体" w:hAnsi="宋体" w:cs="宋体"/>
                <w:kern w:val="0"/>
              </w:rPr>
              <w:t>2020</w:t>
            </w:r>
            <w:r>
              <w:rPr>
                <w:rFonts w:hint="eastAsia" w:ascii="宋体" w:hAnsi="宋体" w:cs="宋体"/>
                <w:kern w:val="0"/>
              </w:rPr>
              <w:t>年以后新装用户智能化表具安装率（</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1</w:t>
            </w:r>
            <w:r>
              <w:rPr>
                <w:rFonts w:hint="eastAsia" w:ascii="宋体" w:hAnsi="宋体" w:cs="宋体"/>
                <w:kern w:val="0"/>
              </w:rPr>
              <w:t>）智能化表具占所有表具比例</w:t>
            </w:r>
            <w:r>
              <w:rPr>
                <w:rFonts w:ascii="宋体" w:hAnsi="宋体" w:cs="宋体"/>
                <w:kern w:val="0"/>
              </w:rPr>
              <w:t>20%</w:t>
            </w:r>
            <w:r>
              <w:rPr>
                <w:rFonts w:hint="eastAsia" w:ascii="宋体" w:hAnsi="宋体" w:cs="宋体"/>
                <w:kern w:val="0"/>
              </w:rPr>
              <w:t>以下，不得分；</w:t>
            </w:r>
            <w:r>
              <w:rPr>
                <w:rFonts w:ascii="宋体" w:cs="宋体"/>
                <w:kern w:val="0"/>
              </w:rPr>
              <w:br w:type="textWrapping"/>
            </w:r>
            <w:r>
              <w:rPr>
                <w:rFonts w:ascii="宋体" w:hAnsi="宋体" w:cs="宋体"/>
                <w:kern w:val="0"/>
              </w:rPr>
              <w:t>2</w:t>
            </w:r>
            <w:r>
              <w:rPr>
                <w:rFonts w:hint="eastAsia" w:ascii="宋体" w:hAnsi="宋体" w:cs="宋体"/>
                <w:kern w:val="0"/>
              </w:rPr>
              <w:t>）智能化表具占所有表具比例</w:t>
            </w:r>
            <w:r>
              <w:rPr>
                <w:rFonts w:ascii="宋体" w:hAnsi="宋体" w:cs="宋体"/>
                <w:kern w:val="0"/>
              </w:rPr>
              <w:t>20%</w:t>
            </w:r>
            <w:r>
              <w:rPr>
                <w:rFonts w:hint="eastAsia" w:ascii="宋体" w:hAnsi="宋体" w:cs="宋体"/>
                <w:kern w:val="0"/>
              </w:rPr>
              <w:t>（含）</w:t>
            </w:r>
            <w:r>
              <w:rPr>
                <w:rFonts w:ascii="宋体" w:hAnsi="宋体" w:cs="宋体"/>
                <w:kern w:val="0"/>
              </w:rPr>
              <w:t>-60%</w:t>
            </w:r>
            <w:r>
              <w:rPr>
                <w:rFonts w:hint="eastAsia" w:ascii="宋体" w:hAnsi="宋体" w:cs="宋体"/>
                <w:kern w:val="0"/>
              </w:rPr>
              <w:t>，得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ascii="宋体" w:hAnsi="宋体" w:cs="宋体"/>
                <w:kern w:val="0"/>
              </w:rPr>
              <w:t>3</w:t>
            </w:r>
            <w:r>
              <w:rPr>
                <w:rFonts w:hint="eastAsia" w:ascii="宋体" w:hAnsi="宋体" w:cs="宋体"/>
                <w:kern w:val="0"/>
              </w:rPr>
              <w:t>）智能化表具占所有表具比例</w:t>
            </w:r>
            <w:r>
              <w:rPr>
                <w:rFonts w:ascii="宋体" w:hAnsi="宋体" w:cs="宋体"/>
                <w:kern w:val="0"/>
              </w:rPr>
              <w:t>60%</w:t>
            </w:r>
            <w:r>
              <w:rPr>
                <w:rFonts w:hint="eastAsia" w:ascii="宋体" w:hAnsi="宋体" w:cs="宋体"/>
                <w:kern w:val="0"/>
              </w:rPr>
              <w:t>（含）以上，得</w:t>
            </w:r>
            <w:r>
              <w:rPr>
                <w:rFonts w:ascii="宋体" w:hAnsi="宋体" w:cs="宋体"/>
                <w:kern w:val="0"/>
              </w:rPr>
              <w:t>1</w:t>
            </w:r>
            <w:r>
              <w:rPr>
                <w:rFonts w:hint="eastAsia" w:ascii="宋体" w:hAnsi="宋体" w:cs="宋体"/>
                <w:kern w:val="0"/>
              </w:rPr>
              <w:t>分。</w:t>
            </w:r>
            <w:r>
              <w:rPr>
                <w:rFonts w:ascii="宋体" w:hAnsi="宋体" w:cs="宋体"/>
                <w:kern w:val="0"/>
              </w:rPr>
              <w:t xml:space="preserve"> </w:t>
            </w:r>
          </w:p>
          <w:p>
            <w:pPr>
              <w:snapToGrid w:val="0"/>
              <w:spacing w:line="240" w:lineRule="atLeast"/>
              <w:jc w:val="left"/>
              <w:textAlignment w:val="center"/>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）特种设备检验信息数据库（</w:t>
            </w:r>
            <w:r>
              <w:rPr>
                <w:rFonts w:ascii="宋体" w:hAnsi="宋体" w:cs="宋体"/>
                <w:kern w:val="0"/>
              </w:rPr>
              <w:t>1</w:t>
            </w:r>
            <w:r>
              <w:rPr>
                <w:rFonts w:hint="eastAsia" w:ascii="宋体" w:hAnsi="宋体" w:cs="宋体"/>
                <w:kern w:val="0"/>
              </w:rPr>
              <w:t>分）</w:t>
            </w:r>
          </w:p>
          <w:p>
            <w:pPr>
              <w:snapToGrid w:val="0"/>
              <w:spacing w:line="240" w:lineRule="atLeast"/>
              <w:jc w:val="left"/>
              <w:textAlignment w:val="center"/>
              <w:rPr>
                <w:rFonts w:ascii="宋体" w:cs="宋体"/>
                <w:kern w:val="0"/>
              </w:rPr>
            </w:pPr>
            <w:r>
              <w:rPr>
                <w:rFonts w:ascii="宋体" w:hAnsi="宋体" w:cs="宋体"/>
                <w:kern w:val="0"/>
              </w:rPr>
              <w:t>1</w:t>
            </w:r>
            <w:r>
              <w:rPr>
                <w:rFonts w:hint="eastAsia" w:ascii="宋体" w:hAnsi="宋体" w:cs="宋体"/>
                <w:kern w:val="0"/>
              </w:rPr>
              <w:t>）建立了燃气压力管道等特种设备检验信息数据库，对特种设备检验信息实施信息化管理的，得</w:t>
            </w:r>
            <w:r>
              <w:rPr>
                <w:rFonts w:ascii="宋体" w:hAnsi="宋体" w:cs="宋体"/>
                <w:kern w:val="0"/>
              </w:rPr>
              <w:t>0.5</w:t>
            </w:r>
            <w:r>
              <w:rPr>
                <w:rFonts w:hint="eastAsia" w:ascii="宋体" w:hAnsi="宋体" w:cs="宋体"/>
                <w:kern w:val="0"/>
              </w:rPr>
              <w:t>分；</w:t>
            </w:r>
          </w:p>
          <w:p>
            <w:pPr>
              <w:snapToGrid w:val="0"/>
              <w:spacing w:line="240" w:lineRule="atLeast"/>
              <w:jc w:val="left"/>
              <w:textAlignment w:val="center"/>
              <w:rPr>
                <w:rFonts w:ascii="宋体" w:cs="宋体"/>
                <w:kern w:val="0"/>
              </w:rPr>
            </w:pPr>
            <w:r>
              <w:rPr>
                <w:rFonts w:ascii="宋体" w:hAnsi="宋体" w:cs="宋体"/>
                <w:kern w:val="0"/>
              </w:rPr>
              <w:t>2</w:t>
            </w:r>
            <w:r>
              <w:rPr>
                <w:rFonts w:hint="eastAsia" w:ascii="宋体" w:hAnsi="宋体" w:cs="宋体"/>
                <w:kern w:val="0"/>
              </w:rPr>
              <w:t>）燃气压力管道检验信息能够自动上传至全国压力管道检验信息系统的，得</w:t>
            </w:r>
            <w:r>
              <w:rPr>
                <w:rFonts w:ascii="宋体" w:hAnsi="宋体" w:cs="宋体"/>
                <w:kern w:val="0"/>
              </w:rPr>
              <w:t>0.5</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19</w:t>
            </w:r>
          </w:p>
        </w:tc>
        <w:tc>
          <w:tcPr>
            <w:tcW w:w="2218" w:type="dxa"/>
            <w:vMerge w:val="restart"/>
            <w:vAlign w:val="center"/>
          </w:tcPr>
          <w:p>
            <w:pPr>
              <w:snapToGrid w:val="0"/>
              <w:spacing w:line="240" w:lineRule="atLeast"/>
              <w:jc w:val="center"/>
              <w:textAlignment w:val="center"/>
              <w:rPr>
                <w:rFonts w:ascii="宋体" w:cs="宋体"/>
                <w:kern w:val="0"/>
              </w:rPr>
            </w:pPr>
            <w:r>
              <w:rPr>
                <w:rFonts w:hint="eastAsia" w:ascii="宋体" w:hAnsi="宋体" w:cs="宋体"/>
                <w:kern w:val="0"/>
              </w:rPr>
              <w:t>四、服务质量及用户投诉受理（</w:t>
            </w:r>
            <w:r>
              <w:rPr>
                <w:rFonts w:ascii="宋体" w:hAnsi="宋体" w:cs="宋体"/>
                <w:kern w:val="0"/>
              </w:rPr>
              <w:t>22</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信息公开</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）建立企业网站或微信公众号的，得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）向社会公开业务办理流程、服务标准、资费标准、气质等信息，得</w:t>
            </w:r>
            <w:r>
              <w:rPr>
                <w:rFonts w:ascii="宋体" w:hAnsi="宋体" w:cs="宋体"/>
                <w:kern w:val="0"/>
              </w:rPr>
              <w:t>0.5</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20</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服务质量</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）在政务服务网、</w:t>
            </w:r>
            <w:r>
              <w:rPr>
                <w:rFonts w:hint="eastAsia" w:ascii="宋体" w:cs="宋体"/>
                <w:kern w:val="0"/>
              </w:rPr>
              <w:t>“</w:t>
            </w:r>
            <w:bookmarkStart w:id="7" w:name="OLE_LINK2"/>
            <w:r>
              <w:rPr>
                <w:rFonts w:hint="eastAsia" w:ascii="宋体" w:hAnsi="宋体" w:cs="宋体"/>
                <w:kern w:val="0"/>
              </w:rPr>
              <w:t>甘快办</w:t>
            </w:r>
            <w:bookmarkEnd w:id="7"/>
            <w:r>
              <w:rPr>
                <w:rFonts w:hint="eastAsia" w:ascii="宋体" w:cs="宋体"/>
                <w:kern w:val="0"/>
              </w:rPr>
              <w:t>”</w:t>
            </w:r>
            <w:r>
              <w:rPr>
                <w:rFonts w:hint="eastAsia" w:ascii="宋体" w:hAnsi="宋体" w:cs="宋体"/>
                <w:kern w:val="0"/>
              </w:rPr>
              <w:t>等政务</w:t>
            </w:r>
            <w:r>
              <w:rPr>
                <w:rFonts w:ascii="宋体" w:hAnsi="宋体" w:cs="宋体"/>
                <w:kern w:val="0"/>
              </w:rPr>
              <w:t>APP</w:t>
            </w:r>
            <w:r>
              <w:rPr>
                <w:rFonts w:hint="eastAsia" w:ascii="宋体" w:hAnsi="宋体" w:cs="宋体"/>
                <w:kern w:val="0"/>
              </w:rPr>
              <w:t>及企业网站、企业</w:t>
            </w:r>
            <w:r>
              <w:rPr>
                <w:rFonts w:ascii="宋体" w:hAnsi="宋体" w:cs="宋体"/>
                <w:kern w:val="0"/>
              </w:rPr>
              <w:t>APP</w:t>
            </w:r>
            <w:r>
              <w:rPr>
                <w:rFonts w:hint="eastAsia" w:ascii="宋体" w:hAnsi="宋体" w:cs="宋体"/>
                <w:kern w:val="0"/>
              </w:rPr>
              <w:t>、微信公众号开设供气服务模块，模块至少包含开户、报装预约、</w:t>
            </w:r>
            <w:r>
              <w:rPr>
                <w:rFonts w:hint="eastAsia" w:ascii="宋体" w:cs="宋体"/>
                <w:kern w:val="0"/>
              </w:rPr>
              <w:t>“</w:t>
            </w:r>
            <w:r>
              <w:rPr>
                <w:rFonts w:hint="eastAsia" w:ascii="宋体" w:hAnsi="宋体" w:cs="宋体"/>
                <w:kern w:val="0"/>
              </w:rPr>
              <w:t>好差评</w:t>
            </w:r>
            <w:r>
              <w:rPr>
                <w:rFonts w:hint="eastAsia" w:ascii="宋体" w:cs="宋体"/>
                <w:kern w:val="0"/>
              </w:rPr>
              <w:t>”</w:t>
            </w:r>
            <w:r>
              <w:rPr>
                <w:rFonts w:hint="eastAsia" w:ascii="宋体" w:hAnsi="宋体" w:cs="宋体"/>
                <w:kern w:val="0"/>
              </w:rPr>
              <w:t>、点火预约、改造预约、故障报修、服务网点信息、服务热线、抢修热线、开具发票等功能或信息，且能够正常运行，得</w:t>
            </w:r>
            <w:r>
              <w:rPr>
                <w:rFonts w:ascii="宋体" w:hAnsi="宋体" w:cs="宋体"/>
                <w:kern w:val="0"/>
              </w:rPr>
              <w:t>2</w:t>
            </w:r>
            <w:r>
              <w:rPr>
                <w:rFonts w:hint="eastAsia" w:ascii="宋体" w:hAnsi="宋体" w:cs="宋体"/>
                <w:kern w:val="0"/>
              </w:rPr>
              <w:t>分，每少实现一项功能扣</w:t>
            </w:r>
            <w:r>
              <w:rPr>
                <w:rFonts w:ascii="宋体" w:hAnsi="宋体" w:cs="宋体"/>
                <w:kern w:val="0"/>
              </w:rPr>
              <w:t>0.2</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报装环节、报装材料和报装时间均符合《甘肃省人民政府办公厅关于印发贯彻落实全省优化营商环境大会精神若干措施的通知》和《甘肃省住房和城乡建设厅关于印发〈关于进一步优化用水、用气、用暖等报装审批流程工作方案（试行）〉的通知》要求的，得</w:t>
            </w:r>
            <w:r>
              <w:rPr>
                <w:rFonts w:ascii="宋体" w:hAnsi="宋体" w:cs="宋体"/>
                <w:kern w:val="0"/>
              </w:rPr>
              <w:t>1</w:t>
            </w:r>
            <w:r>
              <w:rPr>
                <w:rFonts w:hint="eastAsia" w:ascii="宋体" w:hAnsi="宋体" w:cs="宋体"/>
                <w:kern w:val="0"/>
              </w:rPr>
              <w:t>分；每存在一项不符合要求的，扣</w:t>
            </w:r>
            <w:r>
              <w:rPr>
                <w:rFonts w:ascii="宋体" w:hAnsi="宋体" w:cs="宋体"/>
                <w:kern w:val="0"/>
              </w:rPr>
              <w:t>0.5</w:t>
            </w:r>
            <w:r>
              <w:rPr>
                <w:rFonts w:hint="eastAsia" w:ascii="宋体" w:hAnsi="宋体" w:cs="宋体"/>
                <w:kern w:val="0"/>
              </w:rPr>
              <w:t>分，扣完为止。</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21</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用户投诉</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）具有网上或电话投诉渠道，且</w:t>
            </w:r>
            <w:r>
              <w:rPr>
                <w:rFonts w:ascii="宋体" w:hAnsi="宋体" w:cs="宋体"/>
                <w:kern w:val="0"/>
              </w:rPr>
              <w:t>5</w:t>
            </w:r>
            <w:r>
              <w:rPr>
                <w:rFonts w:hint="eastAsia" w:ascii="宋体" w:hAnsi="宋体" w:cs="宋体"/>
                <w:kern w:val="0"/>
              </w:rPr>
              <w:t>个工作日内反馈投诉处理结果的，得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）投诉处理</w:t>
            </w:r>
            <w:r>
              <w:rPr>
                <w:rFonts w:ascii="宋体" w:cs="宋体"/>
                <w:kern w:val="0"/>
              </w:rPr>
              <w:br w:type="textWrapping"/>
            </w:r>
            <w:r>
              <w:rPr>
                <w:rFonts w:ascii="宋体" w:hAnsi="宋体" w:cs="宋体"/>
                <w:kern w:val="0"/>
              </w:rPr>
              <w:t>1</w:t>
            </w:r>
            <w:r>
              <w:rPr>
                <w:rFonts w:hint="eastAsia" w:ascii="宋体" w:hAnsi="宋体" w:cs="宋体"/>
                <w:kern w:val="0"/>
              </w:rPr>
              <w:t>）有效投诉处理结果满意度为</w:t>
            </w:r>
            <w:r>
              <w:rPr>
                <w:rFonts w:ascii="宋体" w:hAnsi="宋体" w:cs="宋体"/>
                <w:kern w:val="0"/>
              </w:rPr>
              <w:t>95%</w:t>
            </w:r>
            <w:r>
              <w:rPr>
                <w:rFonts w:hint="eastAsia" w:ascii="宋体" w:hAnsi="宋体" w:cs="宋体"/>
                <w:kern w:val="0"/>
              </w:rPr>
              <w:t>（含）以上的，得</w:t>
            </w:r>
            <w:r>
              <w:rPr>
                <w:rFonts w:ascii="宋体" w:hAnsi="宋体" w:cs="宋体"/>
                <w:kern w:val="0"/>
              </w:rPr>
              <w:t>2</w:t>
            </w:r>
            <w:r>
              <w:rPr>
                <w:rFonts w:hint="eastAsia" w:ascii="宋体" w:hAnsi="宋体" w:cs="宋体"/>
                <w:kern w:val="0"/>
              </w:rPr>
              <w:t>分；</w:t>
            </w:r>
            <w:r>
              <w:rPr>
                <w:rFonts w:ascii="宋体" w:cs="宋体"/>
                <w:kern w:val="0"/>
              </w:rPr>
              <w:br w:type="textWrapping"/>
            </w:r>
            <w:r>
              <w:rPr>
                <w:rFonts w:ascii="宋体" w:hAnsi="宋体" w:cs="宋体"/>
                <w:kern w:val="0"/>
              </w:rPr>
              <w:t>2</w:t>
            </w:r>
            <w:r>
              <w:rPr>
                <w:rFonts w:hint="eastAsia" w:ascii="宋体" w:hAnsi="宋体" w:cs="宋体"/>
                <w:kern w:val="0"/>
              </w:rPr>
              <w:t>）有效投诉处理结果满意度为</w:t>
            </w:r>
            <w:r>
              <w:rPr>
                <w:rFonts w:ascii="宋体" w:hAnsi="宋体" w:cs="宋体"/>
                <w:kern w:val="0"/>
              </w:rPr>
              <w:t>60%</w:t>
            </w:r>
            <w:r>
              <w:rPr>
                <w:rFonts w:hint="eastAsia" w:ascii="宋体" w:hAnsi="宋体" w:cs="宋体"/>
                <w:kern w:val="0"/>
              </w:rPr>
              <w:t>（含）</w:t>
            </w:r>
            <w:r>
              <w:rPr>
                <w:rFonts w:ascii="宋体" w:hAnsi="宋体" w:cs="宋体"/>
                <w:spacing w:val="-6"/>
              </w:rPr>
              <w:t>-</w:t>
            </w:r>
            <w:r>
              <w:rPr>
                <w:rFonts w:ascii="宋体" w:hAnsi="宋体" w:cs="宋体"/>
                <w:kern w:val="0"/>
              </w:rPr>
              <w:t>95%</w:t>
            </w:r>
            <w:r>
              <w:rPr>
                <w:rFonts w:hint="eastAsia" w:ascii="宋体" w:hAnsi="宋体" w:cs="宋体"/>
                <w:kern w:val="0"/>
              </w:rPr>
              <w:t>的，得</w:t>
            </w:r>
            <w:r>
              <w:rPr>
                <w:rFonts w:ascii="宋体" w:hAnsi="宋体" w:cs="宋体"/>
                <w:kern w:val="0"/>
              </w:rPr>
              <w:t>1</w:t>
            </w:r>
            <w:r>
              <w:rPr>
                <w:rFonts w:hint="eastAsia" w:ascii="宋体" w:hAnsi="宋体" w:cs="宋体"/>
                <w:kern w:val="0"/>
              </w:rPr>
              <w:t>分；</w:t>
            </w:r>
            <w:r>
              <w:rPr>
                <w:rFonts w:ascii="宋体" w:cs="宋体"/>
                <w:kern w:val="0"/>
              </w:rPr>
              <w:br w:type="textWrapping"/>
            </w:r>
            <w:r>
              <w:rPr>
                <w:rFonts w:ascii="宋体" w:hAnsi="宋体" w:cs="宋体"/>
                <w:kern w:val="0"/>
              </w:rPr>
              <w:t>3</w:t>
            </w:r>
            <w:r>
              <w:rPr>
                <w:rFonts w:hint="eastAsia" w:ascii="宋体" w:hAnsi="宋体" w:cs="宋体"/>
                <w:kern w:val="0"/>
              </w:rPr>
              <w:t>）有效投诉处理结果满意度为</w:t>
            </w:r>
            <w:r>
              <w:rPr>
                <w:rFonts w:ascii="宋体" w:hAnsi="宋体" w:cs="宋体"/>
                <w:kern w:val="0"/>
              </w:rPr>
              <w:t>60%</w:t>
            </w:r>
            <w:r>
              <w:rPr>
                <w:rFonts w:hint="eastAsia" w:ascii="宋体" w:hAnsi="宋体" w:cs="宋体"/>
                <w:kern w:val="0"/>
              </w:rPr>
              <w:t>以下的，不得分。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22</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财务状况</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）总资产收益率超过银行长期贷款利率，得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）经营现金流量大于</w:t>
            </w:r>
            <w:r>
              <w:rPr>
                <w:rFonts w:ascii="宋体" w:hAnsi="宋体" w:cs="宋体"/>
                <w:kern w:val="0"/>
              </w:rPr>
              <w:t>0</w:t>
            </w:r>
            <w:r>
              <w:rPr>
                <w:rFonts w:hint="eastAsia" w:ascii="宋体" w:hAnsi="宋体" w:cs="宋体"/>
                <w:kern w:val="0"/>
              </w:rPr>
              <w:t>，得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）资产负债率小于</w:t>
            </w:r>
            <w:r>
              <w:rPr>
                <w:rFonts w:ascii="宋体" w:hAnsi="宋体" w:cs="宋体"/>
                <w:kern w:val="0"/>
              </w:rPr>
              <w:t>70%</w:t>
            </w:r>
            <w:r>
              <w:rPr>
                <w:rFonts w:hint="eastAsia" w:ascii="宋体" w:hAnsi="宋体" w:cs="宋体"/>
                <w:kern w:val="0"/>
              </w:rPr>
              <w:t>（含），得</w:t>
            </w:r>
            <w:r>
              <w:rPr>
                <w:rFonts w:ascii="宋体" w:hAnsi="宋体" w:cs="宋体"/>
                <w:kern w:val="0"/>
              </w:rPr>
              <w:t>1</w:t>
            </w:r>
            <w:r>
              <w:rPr>
                <w:rFonts w:hint="eastAsia" w:ascii="宋体" w:hAnsi="宋体" w:cs="宋体"/>
                <w:kern w:val="0"/>
              </w:rPr>
              <w:t>分。</w:t>
            </w:r>
            <w:r>
              <w:rPr>
                <w:rFonts w:ascii="宋体" w:cs="宋体"/>
                <w:kern w:val="0"/>
              </w:rPr>
              <w:br w:type="textWrapping"/>
            </w:r>
            <w:r>
              <w:rPr>
                <w:rFonts w:hint="eastAsia" w:ascii="宋体" w:hAnsi="宋体" w:cs="宋体"/>
                <w:kern w:val="0"/>
              </w:rPr>
              <w:t>注：评估期内每个单项每有</w:t>
            </w:r>
            <w:r>
              <w:rPr>
                <w:rFonts w:ascii="宋体" w:hAnsi="宋体" w:cs="宋体"/>
                <w:kern w:val="0"/>
              </w:rPr>
              <w:t>1</w:t>
            </w:r>
            <w:r>
              <w:rPr>
                <w:rFonts w:hint="eastAsia" w:ascii="宋体" w:hAnsi="宋体" w:cs="宋体"/>
                <w:kern w:val="0"/>
              </w:rPr>
              <w:t>年未达到要求的，扣</w:t>
            </w:r>
            <w:r>
              <w:rPr>
                <w:rFonts w:ascii="宋体" w:hAnsi="宋体" w:cs="宋体"/>
                <w:kern w:val="0"/>
              </w:rPr>
              <w:t>0.5</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23</w:t>
            </w:r>
          </w:p>
        </w:tc>
        <w:tc>
          <w:tcPr>
            <w:tcW w:w="2218" w:type="dxa"/>
            <w:vMerge w:val="restart"/>
            <w:vAlign w:val="center"/>
          </w:tcPr>
          <w:p>
            <w:pPr>
              <w:snapToGrid w:val="0"/>
              <w:spacing w:line="240" w:lineRule="atLeast"/>
              <w:jc w:val="center"/>
              <w:textAlignment w:val="center"/>
              <w:rPr>
                <w:rFonts w:ascii="宋体" w:cs="宋体"/>
                <w:kern w:val="0"/>
              </w:rPr>
            </w:pPr>
            <w:r>
              <w:rPr>
                <w:rFonts w:hint="eastAsia" w:ascii="宋体" w:hAnsi="宋体" w:cs="宋体"/>
                <w:kern w:val="0"/>
              </w:rPr>
              <w:t>四、服务质量及用户投诉受理情况（</w:t>
            </w:r>
            <w:r>
              <w:rPr>
                <w:rFonts w:ascii="宋体" w:hAnsi="宋体" w:cs="宋体"/>
                <w:kern w:val="0"/>
              </w:rPr>
              <w:t>22</w:t>
            </w:r>
            <w:r>
              <w:rPr>
                <w:rFonts w:hint="eastAsia" w:ascii="宋体" w:hAnsi="宋体" w:cs="宋体"/>
                <w:kern w:val="0"/>
              </w:rPr>
              <w:t>分）</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入户安检</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5</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）有健全的入户安检制度，安检频次、安全检查内容等符合相关要求的，得</w:t>
            </w:r>
            <w:r>
              <w:rPr>
                <w:rFonts w:ascii="宋体" w:hAnsi="宋体" w:cs="宋体"/>
                <w:kern w:val="0"/>
              </w:rPr>
              <w:t>1</w:t>
            </w:r>
            <w:r>
              <w:rPr>
                <w:rFonts w:hint="eastAsia" w:ascii="宋体" w:hAnsi="宋体" w:cs="宋体"/>
                <w:kern w:val="0"/>
              </w:rPr>
              <w:t>分；每存在一项不符合要求的，扣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）对安全检查发现的隐患及时制定整改措施，落实整改责任人和整改期限，整改完成后进行复查，得</w:t>
            </w:r>
            <w:r>
              <w:rPr>
                <w:rFonts w:ascii="宋体" w:hAnsi="宋体" w:cs="宋体"/>
                <w:kern w:val="0"/>
              </w:rPr>
              <w:t>2</w:t>
            </w:r>
            <w:r>
              <w:rPr>
                <w:rFonts w:hint="eastAsia" w:ascii="宋体" w:hAnsi="宋体" w:cs="宋体"/>
                <w:kern w:val="0"/>
              </w:rPr>
              <w:t>分；每存在一项不符合要求的，扣</w:t>
            </w:r>
            <w:r>
              <w:rPr>
                <w:rFonts w:ascii="宋体" w:hAnsi="宋体" w:cs="宋体"/>
                <w:kern w:val="0"/>
              </w:rPr>
              <w:t>0.5</w:t>
            </w:r>
            <w:r>
              <w:rPr>
                <w:rFonts w:hint="eastAsia" w:ascii="宋体" w:hAnsi="宋体" w:cs="宋体"/>
                <w:kern w:val="0"/>
              </w:rPr>
              <w:t>分，扣完为止；</w:t>
            </w:r>
            <w:r>
              <w:rPr>
                <w:rFonts w:ascii="宋体" w:cs="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）制定入户安检年度计划，并将计划和实际执行结果报送行业主管部门的，得</w:t>
            </w:r>
            <w:r>
              <w:rPr>
                <w:rFonts w:ascii="宋体" w:hAnsi="宋体" w:cs="宋体"/>
                <w:kern w:val="0"/>
              </w:rPr>
              <w:t>1</w:t>
            </w:r>
            <w:r>
              <w:rPr>
                <w:rFonts w:hint="eastAsia" w:ascii="宋体" w:hAnsi="宋体" w:cs="宋体"/>
                <w:kern w:val="0"/>
              </w:rPr>
              <w:t>分；否则不得分；</w:t>
            </w:r>
            <w:r>
              <w:rPr>
                <w:rFonts w:ascii="宋体" w:cs="宋体"/>
                <w:kern w:val="0"/>
              </w:rPr>
              <w:br w:type="textWrapping"/>
            </w:r>
            <w:r>
              <w:rPr>
                <w:rFonts w:hint="eastAsia" w:ascii="宋体" w:hAnsi="宋体" w:cs="宋体"/>
                <w:kern w:val="0"/>
              </w:rPr>
              <w:t>（</w:t>
            </w:r>
            <w:r>
              <w:rPr>
                <w:rFonts w:ascii="宋体" w:hAnsi="宋体" w:cs="宋体"/>
                <w:kern w:val="0"/>
              </w:rPr>
              <w:t>4</w:t>
            </w:r>
            <w:r>
              <w:rPr>
                <w:rFonts w:hint="eastAsia" w:ascii="宋体" w:hAnsi="宋体" w:cs="宋体"/>
                <w:kern w:val="0"/>
              </w:rPr>
              <w:t>）实际入户率达到</w:t>
            </w:r>
            <w:r>
              <w:rPr>
                <w:rFonts w:ascii="宋体" w:hAnsi="宋体" w:cs="宋体"/>
                <w:kern w:val="0"/>
              </w:rPr>
              <w:t>80%</w:t>
            </w:r>
            <w:r>
              <w:rPr>
                <w:rFonts w:hint="eastAsia" w:ascii="宋体" w:hAnsi="宋体" w:cs="宋体"/>
                <w:kern w:val="0"/>
              </w:rPr>
              <w:t>及以上，得</w:t>
            </w:r>
            <w:r>
              <w:rPr>
                <w:rFonts w:ascii="宋体" w:hAnsi="宋体" w:cs="宋体"/>
                <w:kern w:val="0"/>
              </w:rPr>
              <w:t>0.5</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5</w:t>
            </w:r>
            <w:r>
              <w:rPr>
                <w:rFonts w:hint="eastAsia" w:ascii="宋体" w:hAnsi="宋体" w:cs="宋体"/>
                <w:kern w:val="0"/>
              </w:rPr>
              <w:t>）有完善的到访不遇制度和处置措施，且执行情况良好，得</w:t>
            </w:r>
            <w:r>
              <w:rPr>
                <w:rFonts w:ascii="宋体" w:hAnsi="宋体" w:cs="宋体"/>
                <w:kern w:val="0"/>
              </w:rPr>
              <w:t>0.5</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24</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用户回访</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pStyle w:val="24"/>
              <w:snapToGrid w:val="0"/>
              <w:spacing w:line="240" w:lineRule="atLeast"/>
              <w:rPr>
                <w:rFonts w:ascii="宋体" w:hAnsi="宋体" w:eastAsia="宋体" w:cs="Times New Roman"/>
                <w:spacing w:val="-6"/>
                <w:sz w:val="21"/>
                <w:szCs w:val="21"/>
              </w:rPr>
            </w:pPr>
            <w:r>
              <w:rPr>
                <w:rFonts w:hint="eastAsia" w:ascii="宋体" w:hAnsi="宋体" w:eastAsia="宋体" w:cs="宋体"/>
                <w:spacing w:val="-6"/>
                <w:sz w:val="21"/>
                <w:szCs w:val="21"/>
              </w:rPr>
              <w:t>（</w:t>
            </w:r>
            <w:r>
              <w:rPr>
                <w:rFonts w:ascii="宋体" w:hAnsi="宋体" w:eastAsia="宋体" w:cs="宋体"/>
                <w:spacing w:val="-6"/>
                <w:sz w:val="21"/>
                <w:szCs w:val="21"/>
              </w:rPr>
              <w:t>1</w:t>
            </w:r>
            <w:r>
              <w:rPr>
                <w:rFonts w:hint="eastAsia" w:ascii="宋体" w:hAnsi="宋体" w:eastAsia="宋体" w:cs="宋体"/>
                <w:spacing w:val="-6"/>
                <w:sz w:val="21"/>
                <w:szCs w:val="21"/>
              </w:rPr>
              <w:t>）提供上门服务或有投诉的用户进行回访且建立完善的回访记录档案的，得</w:t>
            </w:r>
            <w:r>
              <w:rPr>
                <w:rFonts w:ascii="宋体" w:hAnsi="宋体" w:eastAsia="宋体" w:cs="宋体"/>
                <w:spacing w:val="-6"/>
                <w:sz w:val="21"/>
                <w:szCs w:val="21"/>
              </w:rPr>
              <w:t>1</w:t>
            </w:r>
            <w:r>
              <w:rPr>
                <w:rFonts w:hint="eastAsia" w:ascii="宋体" w:hAnsi="宋体" w:eastAsia="宋体" w:cs="宋体"/>
                <w:spacing w:val="-6"/>
                <w:sz w:val="21"/>
                <w:szCs w:val="21"/>
              </w:rPr>
              <w:t>分；</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w:t>
            </w:r>
            <w:r>
              <w:rPr>
                <w:rFonts w:ascii="宋体" w:hAnsi="宋体" w:eastAsia="宋体" w:cs="宋体"/>
                <w:spacing w:val="-6"/>
                <w:sz w:val="21"/>
                <w:szCs w:val="21"/>
              </w:rPr>
              <w:t>2</w:t>
            </w:r>
            <w:r>
              <w:rPr>
                <w:rFonts w:hint="eastAsia" w:ascii="宋体" w:hAnsi="宋体" w:eastAsia="宋体" w:cs="宋体"/>
                <w:spacing w:val="-6"/>
                <w:sz w:val="21"/>
                <w:szCs w:val="21"/>
              </w:rPr>
              <w:t>）用户回访率达到</w:t>
            </w:r>
            <w:r>
              <w:rPr>
                <w:rFonts w:ascii="宋体" w:hAnsi="宋体" w:eastAsia="宋体" w:cs="宋体"/>
                <w:spacing w:val="-6"/>
                <w:sz w:val="21"/>
                <w:szCs w:val="21"/>
              </w:rPr>
              <w:t>10%</w:t>
            </w:r>
            <w:r>
              <w:rPr>
                <w:rFonts w:hint="eastAsia" w:ascii="宋体" w:hAnsi="宋体" w:eastAsia="宋体" w:cs="宋体"/>
                <w:spacing w:val="-6"/>
                <w:sz w:val="21"/>
                <w:szCs w:val="21"/>
              </w:rPr>
              <w:t>（含）以上的，得</w:t>
            </w:r>
            <w:r>
              <w:rPr>
                <w:rFonts w:ascii="宋体" w:hAnsi="宋体" w:eastAsia="宋体" w:cs="宋体"/>
                <w:spacing w:val="-6"/>
                <w:sz w:val="21"/>
                <w:szCs w:val="21"/>
              </w:rPr>
              <w:t>1</w:t>
            </w:r>
            <w:r>
              <w:rPr>
                <w:rFonts w:hint="eastAsia" w:ascii="宋体" w:hAnsi="宋体" w:eastAsia="宋体" w:cs="宋体"/>
                <w:spacing w:val="-6"/>
                <w:sz w:val="21"/>
                <w:szCs w:val="21"/>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25</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用户满意度</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pStyle w:val="24"/>
              <w:snapToGrid w:val="0"/>
              <w:spacing w:line="240" w:lineRule="atLeast"/>
              <w:rPr>
                <w:rFonts w:ascii="宋体" w:hAnsi="宋体" w:eastAsia="宋体" w:cs="Times New Roman"/>
                <w:spacing w:val="-6"/>
                <w:sz w:val="21"/>
                <w:szCs w:val="21"/>
              </w:rPr>
            </w:pPr>
            <w:r>
              <w:rPr>
                <w:rFonts w:hint="eastAsia" w:ascii="宋体" w:hAnsi="宋体" w:eastAsia="宋体" w:cs="宋体"/>
                <w:spacing w:val="-6"/>
                <w:sz w:val="21"/>
                <w:szCs w:val="21"/>
              </w:rPr>
              <w:t>分别采取电话调查及上门调查两种形式：</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w:t>
            </w:r>
            <w:r>
              <w:rPr>
                <w:rFonts w:ascii="宋体" w:hAnsi="宋体" w:eastAsia="宋体" w:cs="宋体"/>
                <w:spacing w:val="-6"/>
                <w:sz w:val="21"/>
                <w:szCs w:val="21"/>
              </w:rPr>
              <w:t>1</w:t>
            </w:r>
            <w:r>
              <w:rPr>
                <w:rFonts w:hint="eastAsia" w:ascii="宋体" w:hAnsi="宋体" w:eastAsia="宋体" w:cs="宋体"/>
                <w:spacing w:val="-6"/>
                <w:sz w:val="21"/>
                <w:szCs w:val="21"/>
              </w:rPr>
              <w:t>）电话调查满意度为</w:t>
            </w:r>
            <w:r>
              <w:rPr>
                <w:rFonts w:ascii="宋体" w:hAnsi="宋体" w:eastAsia="宋体" w:cs="宋体"/>
                <w:spacing w:val="-6"/>
                <w:sz w:val="21"/>
                <w:szCs w:val="21"/>
              </w:rPr>
              <w:t>95%</w:t>
            </w:r>
            <w:r>
              <w:rPr>
                <w:rFonts w:hint="eastAsia" w:ascii="宋体" w:hAnsi="宋体" w:eastAsia="宋体" w:cs="宋体"/>
                <w:spacing w:val="-6"/>
                <w:sz w:val="21"/>
                <w:szCs w:val="21"/>
              </w:rPr>
              <w:t>（含）以上的，得</w:t>
            </w:r>
            <w:r>
              <w:rPr>
                <w:rFonts w:ascii="宋体" w:hAnsi="宋体" w:eastAsia="宋体" w:cs="宋体"/>
                <w:spacing w:val="-6"/>
                <w:sz w:val="21"/>
                <w:szCs w:val="21"/>
              </w:rPr>
              <w:t>1.5</w:t>
            </w:r>
            <w:r>
              <w:rPr>
                <w:rFonts w:hint="eastAsia" w:ascii="宋体" w:hAnsi="宋体" w:eastAsia="宋体" w:cs="宋体"/>
                <w:spacing w:val="-6"/>
                <w:sz w:val="21"/>
                <w:szCs w:val="21"/>
              </w:rPr>
              <w:t>分，</w:t>
            </w:r>
            <w:r>
              <w:rPr>
                <w:rFonts w:ascii="宋体" w:hAnsi="宋体" w:eastAsia="宋体" w:cs="宋体"/>
                <w:spacing w:val="-6"/>
                <w:sz w:val="21"/>
                <w:szCs w:val="21"/>
              </w:rPr>
              <w:t>90%</w:t>
            </w:r>
            <w:r>
              <w:rPr>
                <w:rFonts w:hint="eastAsia" w:ascii="宋体" w:hAnsi="宋体" w:eastAsia="宋体" w:cs="宋体"/>
                <w:spacing w:val="-6"/>
                <w:sz w:val="21"/>
                <w:szCs w:val="21"/>
              </w:rPr>
              <w:t>（含）</w:t>
            </w:r>
            <w:r>
              <w:rPr>
                <w:rFonts w:ascii="宋体" w:hAnsi="宋体" w:eastAsia="宋体" w:cs="宋体"/>
                <w:spacing w:val="-6"/>
                <w:sz w:val="21"/>
                <w:szCs w:val="21"/>
              </w:rPr>
              <w:t>-95%</w:t>
            </w:r>
            <w:r>
              <w:rPr>
                <w:rFonts w:hint="eastAsia" w:ascii="宋体" w:hAnsi="宋体" w:eastAsia="宋体" w:cs="宋体"/>
                <w:spacing w:val="-6"/>
                <w:sz w:val="21"/>
                <w:szCs w:val="21"/>
              </w:rPr>
              <w:t>的，得</w:t>
            </w:r>
            <w:r>
              <w:rPr>
                <w:rFonts w:ascii="宋体" w:hAnsi="宋体" w:eastAsia="宋体" w:cs="宋体"/>
                <w:spacing w:val="-6"/>
                <w:sz w:val="21"/>
                <w:szCs w:val="21"/>
              </w:rPr>
              <w:t>1</w:t>
            </w:r>
            <w:r>
              <w:rPr>
                <w:rFonts w:hint="eastAsia" w:ascii="宋体" w:hAnsi="宋体" w:eastAsia="宋体" w:cs="宋体"/>
                <w:spacing w:val="-6"/>
                <w:sz w:val="21"/>
                <w:szCs w:val="21"/>
              </w:rPr>
              <w:t>分，</w:t>
            </w:r>
            <w:r>
              <w:rPr>
                <w:rFonts w:ascii="宋体" w:hAnsi="宋体" w:eastAsia="宋体" w:cs="宋体"/>
                <w:spacing w:val="-6"/>
                <w:sz w:val="21"/>
                <w:szCs w:val="21"/>
              </w:rPr>
              <w:t>80%</w:t>
            </w:r>
            <w:r>
              <w:rPr>
                <w:rFonts w:hint="eastAsia" w:ascii="宋体" w:hAnsi="宋体" w:eastAsia="宋体" w:cs="宋体"/>
                <w:spacing w:val="-6"/>
                <w:sz w:val="21"/>
                <w:szCs w:val="21"/>
              </w:rPr>
              <w:t>（含）</w:t>
            </w:r>
            <w:r>
              <w:rPr>
                <w:rFonts w:ascii="宋体" w:hAnsi="宋体" w:eastAsia="宋体" w:cs="宋体"/>
                <w:spacing w:val="-6"/>
                <w:sz w:val="21"/>
                <w:szCs w:val="21"/>
              </w:rPr>
              <w:t>-90%</w:t>
            </w:r>
            <w:r>
              <w:rPr>
                <w:rFonts w:hint="eastAsia" w:ascii="宋体" w:hAnsi="宋体" w:eastAsia="宋体" w:cs="宋体"/>
                <w:spacing w:val="-6"/>
                <w:sz w:val="21"/>
                <w:szCs w:val="21"/>
              </w:rPr>
              <w:t>的，得</w:t>
            </w:r>
            <w:r>
              <w:rPr>
                <w:rFonts w:ascii="宋体" w:hAnsi="宋体" w:eastAsia="宋体" w:cs="宋体"/>
                <w:spacing w:val="-6"/>
                <w:sz w:val="21"/>
                <w:szCs w:val="21"/>
              </w:rPr>
              <w:t>0.5</w:t>
            </w:r>
            <w:r>
              <w:rPr>
                <w:rFonts w:hint="eastAsia" w:ascii="宋体" w:hAnsi="宋体" w:eastAsia="宋体" w:cs="宋体"/>
                <w:spacing w:val="-6"/>
                <w:sz w:val="21"/>
                <w:szCs w:val="21"/>
              </w:rPr>
              <w:t>分；其余不得分；</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w:t>
            </w:r>
            <w:r>
              <w:rPr>
                <w:rFonts w:ascii="宋体" w:hAnsi="宋体" w:eastAsia="宋体" w:cs="宋体"/>
                <w:spacing w:val="-6"/>
                <w:sz w:val="21"/>
                <w:szCs w:val="21"/>
              </w:rPr>
              <w:t>2</w:t>
            </w:r>
            <w:r>
              <w:rPr>
                <w:rFonts w:hint="eastAsia" w:ascii="宋体" w:hAnsi="宋体" w:eastAsia="宋体" w:cs="宋体"/>
                <w:spacing w:val="-6"/>
                <w:sz w:val="21"/>
                <w:szCs w:val="21"/>
              </w:rPr>
              <w:t>）上门调查满意度为</w:t>
            </w:r>
            <w:r>
              <w:rPr>
                <w:rFonts w:ascii="宋体" w:hAnsi="宋体" w:eastAsia="宋体" w:cs="宋体"/>
                <w:spacing w:val="-6"/>
                <w:sz w:val="21"/>
                <w:szCs w:val="21"/>
              </w:rPr>
              <w:t>95%</w:t>
            </w:r>
            <w:r>
              <w:rPr>
                <w:rFonts w:hint="eastAsia" w:ascii="宋体" w:hAnsi="宋体" w:eastAsia="宋体" w:cs="宋体"/>
                <w:spacing w:val="-6"/>
                <w:sz w:val="21"/>
                <w:szCs w:val="21"/>
              </w:rPr>
              <w:t>（含）以上的，得</w:t>
            </w:r>
            <w:r>
              <w:rPr>
                <w:rFonts w:ascii="宋体" w:hAnsi="宋体" w:eastAsia="宋体" w:cs="宋体"/>
                <w:spacing w:val="-6"/>
                <w:sz w:val="21"/>
                <w:szCs w:val="21"/>
              </w:rPr>
              <w:t>1.5</w:t>
            </w:r>
            <w:r>
              <w:rPr>
                <w:rFonts w:hint="eastAsia" w:ascii="宋体" w:hAnsi="宋体" w:eastAsia="宋体" w:cs="宋体"/>
                <w:spacing w:val="-6"/>
                <w:sz w:val="21"/>
                <w:szCs w:val="21"/>
              </w:rPr>
              <w:t>分，</w:t>
            </w:r>
            <w:r>
              <w:rPr>
                <w:rFonts w:ascii="宋体" w:hAnsi="宋体" w:eastAsia="宋体" w:cs="宋体"/>
                <w:spacing w:val="-6"/>
                <w:sz w:val="21"/>
                <w:szCs w:val="21"/>
              </w:rPr>
              <w:t>90%</w:t>
            </w:r>
            <w:r>
              <w:rPr>
                <w:rFonts w:hint="eastAsia" w:ascii="宋体" w:hAnsi="宋体" w:eastAsia="宋体" w:cs="宋体"/>
                <w:spacing w:val="-6"/>
                <w:sz w:val="21"/>
                <w:szCs w:val="21"/>
              </w:rPr>
              <w:t>（含）</w:t>
            </w:r>
            <w:r>
              <w:rPr>
                <w:rFonts w:ascii="宋体" w:hAnsi="宋体" w:eastAsia="宋体" w:cs="宋体"/>
                <w:spacing w:val="-6"/>
                <w:sz w:val="21"/>
                <w:szCs w:val="21"/>
              </w:rPr>
              <w:t>-95%</w:t>
            </w:r>
            <w:r>
              <w:rPr>
                <w:rFonts w:hint="eastAsia" w:ascii="宋体" w:hAnsi="宋体" w:eastAsia="宋体" w:cs="宋体"/>
                <w:spacing w:val="-6"/>
                <w:sz w:val="21"/>
                <w:szCs w:val="21"/>
              </w:rPr>
              <w:t>的，得</w:t>
            </w:r>
            <w:r>
              <w:rPr>
                <w:rFonts w:ascii="宋体" w:hAnsi="宋体" w:eastAsia="宋体" w:cs="宋体"/>
                <w:spacing w:val="-6"/>
                <w:sz w:val="21"/>
                <w:szCs w:val="21"/>
              </w:rPr>
              <w:t>1</w:t>
            </w:r>
            <w:r>
              <w:rPr>
                <w:rFonts w:hint="eastAsia" w:ascii="宋体" w:hAnsi="宋体" w:eastAsia="宋体" w:cs="宋体"/>
                <w:spacing w:val="-6"/>
                <w:sz w:val="21"/>
                <w:szCs w:val="21"/>
              </w:rPr>
              <w:t>分，</w:t>
            </w:r>
            <w:r>
              <w:rPr>
                <w:rFonts w:ascii="宋体" w:hAnsi="宋体" w:eastAsia="宋体" w:cs="宋体"/>
                <w:spacing w:val="-6"/>
                <w:sz w:val="21"/>
                <w:szCs w:val="21"/>
              </w:rPr>
              <w:t>80%</w:t>
            </w:r>
            <w:r>
              <w:rPr>
                <w:rFonts w:hint="eastAsia" w:ascii="宋体" w:hAnsi="宋体" w:eastAsia="宋体" w:cs="宋体"/>
                <w:spacing w:val="-6"/>
                <w:sz w:val="21"/>
                <w:szCs w:val="21"/>
              </w:rPr>
              <w:t>（含）</w:t>
            </w:r>
            <w:r>
              <w:rPr>
                <w:rFonts w:ascii="宋体" w:hAnsi="宋体" w:eastAsia="宋体" w:cs="宋体"/>
                <w:spacing w:val="-6"/>
                <w:sz w:val="21"/>
                <w:szCs w:val="21"/>
              </w:rPr>
              <w:t>-90%</w:t>
            </w:r>
            <w:r>
              <w:rPr>
                <w:rFonts w:hint="eastAsia" w:ascii="宋体" w:hAnsi="宋体" w:eastAsia="宋体" w:cs="宋体"/>
                <w:spacing w:val="-6"/>
                <w:sz w:val="21"/>
                <w:szCs w:val="21"/>
              </w:rPr>
              <w:t>的，得</w:t>
            </w:r>
            <w:r>
              <w:rPr>
                <w:rFonts w:ascii="宋体" w:hAnsi="宋体" w:eastAsia="宋体" w:cs="宋体"/>
                <w:spacing w:val="-6"/>
                <w:sz w:val="21"/>
                <w:szCs w:val="21"/>
              </w:rPr>
              <w:t>0.5</w:t>
            </w:r>
            <w:r>
              <w:rPr>
                <w:rFonts w:hint="eastAsia" w:ascii="宋体" w:hAnsi="宋体" w:eastAsia="宋体" w:cs="宋体"/>
                <w:spacing w:val="-6"/>
                <w:sz w:val="21"/>
                <w:szCs w:val="21"/>
              </w:rPr>
              <w:t>分；其余不得分。</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注：各类用户样本数量原则上为该类用户总数的</w:t>
            </w:r>
            <w:r>
              <w:rPr>
                <w:rFonts w:ascii="宋体" w:hAnsi="宋体" w:eastAsia="宋体" w:cs="宋体"/>
                <w:spacing w:val="-6"/>
                <w:sz w:val="21"/>
                <w:szCs w:val="21"/>
              </w:rPr>
              <w:t>1%</w:t>
            </w:r>
            <w:r>
              <w:rPr>
                <w:rFonts w:hint="eastAsia" w:ascii="宋体" w:hAnsi="宋体" w:eastAsia="宋体" w:cs="宋体"/>
                <w:spacing w:val="-6"/>
                <w:sz w:val="21"/>
                <w:szCs w:val="21"/>
              </w:rPr>
              <w:t>，各类用户总量可不超过</w:t>
            </w:r>
            <w:r>
              <w:rPr>
                <w:rFonts w:ascii="宋体" w:hAnsi="宋体" w:eastAsia="宋体" w:cs="宋体"/>
                <w:spacing w:val="-6"/>
                <w:sz w:val="21"/>
                <w:szCs w:val="21"/>
              </w:rPr>
              <w:t>100</w:t>
            </w:r>
            <w:r>
              <w:rPr>
                <w:rFonts w:hint="eastAsia" w:ascii="宋体" w:hAnsi="宋体" w:eastAsia="宋体" w:cs="宋体"/>
                <w:spacing w:val="-6"/>
                <w:sz w:val="21"/>
                <w:szCs w:val="21"/>
              </w:rPr>
              <w:t>户。</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26</w:t>
            </w:r>
          </w:p>
        </w:tc>
        <w:tc>
          <w:tcPr>
            <w:tcW w:w="2218" w:type="dxa"/>
            <w:vMerge w:val="continue"/>
            <w:vAlign w:val="center"/>
          </w:tcPr>
          <w:p>
            <w:pPr>
              <w:snapToGrid w:val="0"/>
              <w:spacing w:line="240" w:lineRule="atLeast"/>
              <w:jc w:val="center"/>
              <w:textAlignment w:val="center"/>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安全宣传</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8220" w:type="dxa"/>
            <w:vAlign w:val="center"/>
          </w:tcPr>
          <w:p>
            <w:pPr>
              <w:pStyle w:val="24"/>
              <w:snapToGrid w:val="0"/>
              <w:spacing w:line="240" w:lineRule="atLeast"/>
              <w:rPr>
                <w:rFonts w:ascii="宋体" w:hAnsi="宋体" w:eastAsia="宋体" w:cs="Times New Roman"/>
                <w:spacing w:val="-6"/>
                <w:sz w:val="21"/>
                <w:szCs w:val="21"/>
              </w:rPr>
            </w:pPr>
            <w:r>
              <w:rPr>
                <w:rFonts w:hint="eastAsia" w:ascii="宋体" w:hAnsi="宋体" w:eastAsia="宋体" w:cs="宋体"/>
                <w:spacing w:val="-6"/>
                <w:sz w:val="21"/>
                <w:szCs w:val="21"/>
              </w:rPr>
              <w:t>（</w:t>
            </w:r>
            <w:r>
              <w:rPr>
                <w:rFonts w:ascii="宋体" w:hAnsi="宋体" w:eastAsia="宋体" w:cs="宋体"/>
                <w:spacing w:val="-6"/>
                <w:sz w:val="21"/>
                <w:szCs w:val="21"/>
              </w:rPr>
              <w:t>1</w:t>
            </w:r>
            <w:r>
              <w:rPr>
                <w:rFonts w:hint="eastAsia" w:ascii="宋体" w:hAnsi="宋体" w:eastAsia="宋体" w:cs="宋体"/>
                <w:spacing w:val="-6"/>
                <w:sz w:val="21"/>
                <w:szCs w:val="21"/>
              </w:rPr>
              <w:t>）按要求制定安全宣传制度和宣传计划，并执行良好的，得</w:t>
            </w:r>
            <w:r>
              <w:rPr>
                <w:rFonts w:ascii="宋体" w:hAnsi="宋体" w:eastAsia="宋体" w:cs="宋体"/>
                <w:spacing w:val="-6"/>
                <w:sz w:val="21"/>
                <w:szCs w:val="21"/>
              </w:rPr>
              <w:t>1</w:t>
            </w:r>
            <w:r>
              <w:rPr>
                <w:rFonts w:hint="eastAsia" w:ascii="宋体" w:hAnsi="宋体" w:eastAsia="宋体" w:cs="宋体"/>
                <w:spacing w:val="-6"/>
                <w:sz w:val="21"/>
                <w:szCs w:val="21"/>
              </w:rPr>
              <w:t>分；有不合格的每项扣</w:t>
            </w:r>
            <w:r>
              <w:rPr>
                <w:rFonts w:ascii="宋体" w:hAnsi="宋体" w:eastAsia="宋体" w:cs="宋体"/>
                <w:spacing w:val="-6"/>
                <w:sz w:val="21"/>
                <w:szCs w:val="21"/>
              </w:rPr>
              <w:t>0.5</w:t>
            </w:r>
            <w:r>
              <w:rPr>
                <w:rFonts w:hint="eastAsia" w:ascii="宋体" w:hAnsi="宋体" w:eastAsia="宋体" w:cs="宋体"/>
                <w:spacing w:val="-6"/>
                <w:sz w:val="21"/>
                <w:szCs w:val="21"/>
              </w:rPr>
              <w:t>分，扣完为止；</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w:t>
            </w:r>
            <w:r>
              <w:rPr>
                <w:rFonts w:ascii="宋体" w:hAnsi="宋体" w:eastAsia="宋体" w:cs="宋体"/>
                <w:spacing w:val="-6"/>
                <w:sz w:val="21"/>
                <w:szCs w:val="21"/>
              </w:rPr>
              <w:t>2</w:t>
            </w:r>
            <w:r>
              <w:rPr>
                <w:rFonts w:hint="eastAsia" w:ascii="宋体" w:hAnsi="宋体" w:eastAsia="宋体" w:cs="宋体"/>
                <w:spacing w:val="-6"/>
                <w:sz w:val="21"/>
                <w:szCs w:val="21"/>
              </w:rPr>
              <w:t>）每年开展</w:t>
            </w:r>
            <w:r>
              <w:rPr>
                <w:rFonts w:ascii="宋体" w:hAnsi="宋体" w:eastAsia="宋体" w:cs="宋体"/>
                <w:spacing w:val="-6"/>
                <w:sz w:val="21"/>
                <w:szCs w:val="21"/>
              </w:rPr>
              <w:t>4</w:t>
            </w:r>
            <w:r>
              <w:rPr>
                <w:rFonts w:hint="eastAsia" w:ascii="宋体" w:hAnsi="宋体" w:eastAsia="宋体" w:cs="宋体"/>
                <w:spacing w:val="-6"/>
                <w:sz w:val="21"/>
                <w:szCs w:val="21"/>
              </w:rPr>
              <w:t>次及以上安全宣传教育活动，得</w:t>
            </w:r>
            <w:r>
              <w:rPr>
                <w:rFonts w:ascii="宋体" w:hAnsi="宋体" w:eastAsia="宋体" w:cs="宋体"/>
                <w:spacing w:val="-6"/>
                <w:sz w:val="21"/>
                <w:szCs w:val="21"/>
              </w:rPr>
              <w:t>1</w:t>
            </w:r>
            <w:r>
              <w:rPr>
                <w:rFonts w:hint="eastAsia" w:ascii="宋体" w:hAnsi="宋体" w:eastAsia="宋体" w:cs="宋体"/>
                <w:spacing w:val="-6"/>
                <w:sz w:val="21"/>
                <w:szCs w:val="21"/>
              </w:rPr>
              <w:t>分；每少</w:t>
            </w:r>
            <w:r>
              <w:rPr>
                <w:rFonts w:ascii="宋体" w:hAnsi="宋体" w:eastAsia="宋体" w:cs="宋体"/>
                <w:spacing w:val="-6"/>
                <w:sz w:val="21"/>
                <w:szCs w:val="21"/>
              </w:rPr>
              <w:t>1</w:t>
            </w:r>
            <w:r>
              <w:rPr>
                <w:rFonts w:hint="eastAsia" w:ascii="宋体" w:hAnsi="宋体" w:eastAsia="宋体" w:cs="宋体"/>
                <w:spacing w:val="-6"/>
                <w:sz w:val="21"/>
                <w:szCs w:val="21"/>
              </w:rPr>
              <w:t>次扣</w:t>
            </w:r>
            <w:r>
              <w:rPr>
                <w:rFonts w:ascii="宋体" w:hAnsi="宋体" w:eastAsia="宋体" w:cs="宋体"/>
                <w:spacing w:val="-6"/>
                <w:sz w:val="21"/>
                <w:szCs w:val="21"/>
              </w:rPr>
              <w:t>0.5</w:t>
            </w:r>
            <w:r>
              <w:rPr>
                <w:rFonts w:hint="eastAsia" w:ascii="宋体" w:hAnsi="宋体" w:eastAsia="宋体" w:cs="宋体"/>
                <w:spacing w:val="-6"/>
                <w:sz w:val="21"/>
                <w:szCs w:val="21"/>
              </w:rPr>
              <w:t>分，扣完为止。</w:t>
            </w:r>
            <w:r>
              <w:rPr>
                <w:rFonts w:ascii="宋体" w:hAnsi="宋体" w:eastAsia="宋体" w:cs="Times New Roman"/>
                <w:spacing w:val="-6"/>
                <w:sz w:val="21"/>
                <w:szCs w:val="21"/>
              </w:rPr>
              <w:br w:type="textWrapping"/>
            </w:r>
            <w:r>
              <w:rPr>
                <w:rFonts w:hint="eastAsia" w:ascii="宋体" w:hAnsi="宋体" w:eastAsia="宋体" w:cs="宋体"/>
                <w:spacing w:val="-6"/>
                <w:sz w:val="21"/>
                <w:szCs w:val="21"/>
              </w:rPr>
              <w:t>注：安全宣传教育活动（包括安全用气注意事项、正确选择燃气用具的方法、出现异常情况和意外事故时采取的紧急处理措施、户内燃气设施保护措施以及报修报警电话等）。</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4751" w:type="dxa"/>
            <w:gridSpan w:val="6"/>
            <w:vAlign w:val="center"/>
          </w:tcPr>
          <w:p>
            <w:pPr>
              <w:snapToGrid w:val="0"/>
              <w:spacing w:line="240" w:lineRule="atLeast"/>
              <w:jc w:val="left"/>
              <w:textAlignment w:val="center"/>
              <w:rPr>
                <w:rFonts w:ascii="宋体" w:cs="宋体"/>
              </w:rPr>
            </w:pPr>
            <w:r>
              <w:rPr>
                <w:rFonts w:hint="eastAsia" w:ascii="宋体" w:hAnsi="宋体" w:cs="宋体"/>
                <w:kern w:val="0"/>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1</w:t>
            </w:r>
          </w:p>
        </w:tc>
        <w:tc>
          <w:tcPr>
            <w:tcW w:w="2218" w:type="dxa"/>
            <w:vMerge w:val="restart"/>
            <w:vAlign w:val="center"/>
          </w:tcPr>
          <w:p>
            <w:pPr>
              <w:snapToGrid w:val="0"/>
              <w:spacing w:line="240" w:lineRule="atLeast"/>
              <w:jc w:val="center"/>
              <w:textAlignment w:val="center"/>
              <w:rPr>
                <w:rFonts w:ascii="宋体" w:cs="宋体"/>
                <w:kern w:val="0"/>
              </w:rPr>
            </w:pPr>
            <w:r>
              <w:rPr>
                <w:rFonts w:hint="eastAsia" w:ascii="宋体" w:hAnsi="宋体" w:cs="宋体"/>
                <w:kern w:val="0"/>
              </w:rPr>
              <w:t>扣分项</w:t>
            </w: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监管部门提出整改意见</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4</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w:t>
            </w:r>
            <w:r>
              <w:rPr>
                <w:rFonts w:ascii="宋体" w:hAnsi="宋体" w:cs="宋体"/>
                <w:kern w:val="0"/>
              </w:rPr>
              <w:t>1</w:t>
            </w:r>
            <w:r>
              <w:rPr>
                <w:rFonts w:hint="eastAsia" w:ascii="宋体" w:hAnsi="宋体" w:cs="宋体"/>
                <w:kern w:val="0"/>
              </w:rPr>
              <w:t>）有</w:t>
            </w:r>
            <w:r>
              <w:rPr>
                <w:rFonts w:ascii="宋体" w:hAnsi="宋体" w:cs="宋体"/>
                <w:kern w:val="0"/>
              </w:rPr>
              <w:t>1</w:t>
            </w:r>
            <w:r>
              <w:rPr>
                <w:rFonts w:hint="eastAsia" w:ascii="宋体" w:hAnsi="宋体" w:cs="宋体"/>
                <w:kern w:val="0"/>
              </w:rPr>
              <w:t>至</w:t>
            </w:r>
            <w:r>
              <w:rPr>
                <w:rFonts w:ascii="宋体" w:hAnsi="宋体" w:cs="宋体"/>
                <w:kern w:val="0"/>
              </w:rPr>
              <w:t>3</w:t>
            </w:r>
            <w:r>
              <w:rPr>
                <w:rFonts w:hint="eastAsia" w:ascii="宋体" w:hAnsi="宋体" w:cs="宋体"/>
                <w:kern w:val="0"/>
              </w:rPr>
              <w:t>项（处）未按时、按要求完成整改，扣</w:t>
            </w:r>
            <w:r>
              <w:rPr>
                <w:rFonts w:ascii="宋体" w:hAnsi="宋体" w:cs="宋体"/>
                <w:kern w:val="0"/>
              </w:rPr>
              <w:t>2</w:t>
            </w:r>
            <w:r>
              <w:rPr>
                <w:rFonts w:hint="eastAsia" w:ascii="宋体" w:hAnsi="宋体" w:cs="宋体"/>
                <w:kern w:val="0"/>
              </w:rPr>
              <w:t>分；</w:t>
            </w:r>
            <w:r>
              <w:rPr>
                <w:rFonts w:ascii="宋体" w:cs="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）有</w:t>
            </w:r>
            <w:r>
              <w:rPr>
                <w:rFonts w:ascii="宋体" w:hAnsi="宋体" w:cs="宋体"/>
                <w:kern w:val="0"/>
              </w:rPr>
              <w:t>3</w:t>
            </w:r>
            <w:r>
              <w:rPr>
                <w:rFonts w:hint="eastAsia" w:ascii="宋体" w:hAnsi="宋体" w:cs="宋体"/>
                <w:kern w:val="0"/>
              </w:rPr>
              <w:t>项（处）以上未按时、按要求完成整改，扣</w:t>
            </w:r>
            <w:r>
              <w:rPr>
                <w:rFonts w:ascii="宋体" w:hAnsi="宋体" w:cs="宋体"/>
                <w:kern w:val="0"/>
              </w:rPr>
              <w:t>4</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2</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供气合同履行情况</w:t>
            </w:r>
          </w:p>
        </w:tc>
        <w:tc>
          <w:tcPr>
            <w:tcW w:w="847"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每存在一起供气合同违约行为，扣</w:t>
            </w:r>
            <w:r>
              <w:rPr>
                <w:rFonts w:ascii="宋体" w:hAnsi="宋体" w:cs="宋体"/>
                <w:kern w:val="0"/>
              </w:rPr>
              <w:t>0.5</w:t>
            </w:r>
            <w:r>
              <w:rPr>
                <w:rFonts w:hint="eastAsia" w:ascii="宋体" w:hAnsi="宋体" w:cs="宋体"/>
                <w:kern w:val="0"/>
              </w:rPr>
              <w:t>分，最多扣</w:t>
            </w:r>
            <w:r>
              <w:rPr>
                <w:rFonts w:ascii="宋体" w:hAnsi="宋体" w:cs="宋体"/>
                <w:kern w:val="0"/>
              </w:rPr>
              <w:t>3</w:t>
            </w:r>
            <w:r>
              <w:rPr>
                <w:rFonts w:hint="eastAsia" w:ascii="宋体" w:hAnsi="宋体" w:cs="宋体"/>
                <w:kern w:val="0"/>
              </w:rPr>
              <w:t>分。</w:t>
            </w:r>
          </w:p>
        </w:tc>
        <w:tc>
          <w:tcPr>
            <w:tcW w:w="1340" w:type="dxa"/>
            <w:vAlign w:val="center"/>
          </w:tcPr>
          <w:p>
            <w:pPr>
              <w:snapToGrid w:val="0"/>
              <w:spacing w:line="240" w:lineRule="atLeas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753" w:type="dxa"/>
            <w:vAlign w:val="center"/>
          </w:tcPr>
          <w:p>
            <w:pPr>
              <w:snapToGrid w:val="0"/>
              <w:spacing w:line="240" w:lineRule="atLeast"/>
              <w:jc w:val="center"/>
              <w:textAlignment w:val="center"/>
              <w:rPr>
                <w:rFonts w:ascii="宋体" w:hAnsi="宋体" w:cs="宋体"/>
                <w:kern w:val="0"/>
              </w:rPr>
            </w:pPr>
            <w:r>
              <w:rPr>
                <w:rFonts w:ascii="宋体" w:hAnsi="宋体" w:cs="宋体"/>
                <w:kern w:val="0"/>
              </w:rPr>
              <w:t>3</w:t>
            </w:r>
          </w:p>
        </w:tc>
        <w:tc>
          <w:tcPr>
            <w:tcW w:w="2218" w:type="dxa"/>
            <w:vMerge w:val="continue"/>
            <w:vAlign w:val="center"/>
          </w:tcPr>
          <w:p>
            <w:pPr>
              <w:snapToGrid w:val="0"/>
              <w:spacing w:line="240" w:lineRule="atLeast"/>
              <w:jc w:val="left"/>
              <w:rPr>
                <w:rFonts w:ascii="宋体" w:cs="宋体"/>
                <w:kern w:val="0"/>
              </w:rPr>
            </w:pPr>
          </w:p>
        </w:tc>
        <w:tc>
          <w:tcPr>
            <w:tcW w:w="1373" w:type="dxa"/>
            <w:vAlign w:val="center"/>
          </w:tcPr>
          <w:p>
            <w:pPr>
              <w:snapToGrid w:val="0"/>
              <w:spacing w:line="240" w:lineRule="atLeast"/>
              <w:jc w:val="center"/>
              <w:textAlignment w:val="center"/>
              <w:rPr>
                <w:rFonts w:ascii="宋体" w:cs="宋体"/>
                <w:kern w:val="0"/>
              </w:rPr>
            </w:pPr>
            <w:r>
              <w:rPr>
                <w:rFonts w:hint="eastAsia" w:ascii="宋体" w:hAnsi="宋体" w:cs="宋体"/>
                <w:kern w:val="0"/>
              </w:rPr>
              <w:t>安全事故</w:t>
            </w:r>
          </w:p>
        </w:tc>
        <w:tc>
          <w:tcPr>
            <w:tcW w:w="847" w:type="dxa"/>
            <w:vAlign w:val="center"/>
          </w:tcPr>
          <w:p>
            <w:pPr>
              <w:snapToGrid w:val="0"/>
              <w:spacing w:line="240" w:lineRule="atLeast"/>
              <w:jc w:val="center"/>
              <w:textAlignment w:val="center"/>
              <w:rPr>
                <w:rFonts w:ascii="宋体" w:cs="宋体"/>
              </w:rPr>
            </w:pPr>
          </w:p>
        </w:tc>
        <w:tc>
          <w:tcPr>
            <w:tcW w:w="8220" w:type="dxa"/>
            <w:vAlign w:val="center"/>
          </w:tcPr>
          <w:p>
            <w:pPr>
              <w:snapToGrid w:val="0"/>
              <w:spacing w:line="240" w:lineRule="atLeast"/>
              <w:jc w:val="left"/>
              <w:textAlignment w:val="center"/>
              <w:rPr>
                <w:rFonts w:ascii="宋体" w:cs="宋体"/>
              </w:rPr>
            </w:pPr>
            <w:r>
              <w:rPr>
                <w:rFonts w:hint="eastAsia" w:ascii="宋体" w:hAnsi="宋体" w:cs="宋体"/>
                <w:kern w:val="0"/>
              </w:rPr>
              <w:t>每发生</w:t>
            </w:r>
            <w:r>
              <w:rPr>
                <w:rFonts w:ascii="宋体" w:hAnsi="宋体" w:cs="宋体"/>
                <w:kern w:val="0"/>
              </w:rPr>
              <w:t>1</w:t>
            </w:r>
            <w:r>
              <w:rPr>
                <w:rFonts w:hint="eastAsia" w:ascii="宋体" w:hAnsi="宋体" w:cs="宋体"/>
                <w:kern w:val="0"/>
              </w:rPr>
              <w:t>起一般责任安全事故的，扣</w:t>
            </w:r>
            <w:r>
              <w:rPr>
                <w:rFonts w:ascii="宋体" w:hAnsi="宋体" w:cs="宋体"/>
                <w:kern w:val="0"/>
              </w:rPr>
              <w:t>3</w:t>
            </w:r>
            <w:r>
              <w:rPr>
                <w:rFonts w:hint="eastAsia" w:ascii="宋体" w:hAnsi="宋体" w:cs="宋体"/>
                <w:kern w:val="0"/>
              </w:rPr>
              <w:t>分；每发生</w:t>
            </w:r>
            <w:r>
              <w:rPr>
                <w:rFonts w:ascii="宋体" w:hAnsi="宋体" w:cs="宋体"/>
                <w:kern w:val="0"/>
              </w:rPr>
              <w:t>1</w:t>
            </w:r>
            <w:r>
              <w:rPr>
                <w:rFonts w:hint="eastAsia" w:ascii="宋体" w:hAnsi="宋体" w:cs="宋体"/>
                <w:kern w:val="0"/>
              </w:rPr>
              <w:t>起较大责任安全事故的，扣</w:t>
            </w:r>
            <w:r>
              <w:rPr>
                <w:rFonts w:ascii="宋体" w:hAnsi="宋体" w:cs="宋体"/>
                <w:kern w:val="0"/>
              </w:rPr>
              <w:t>10</w:t>
            </w:r>
            <w:r>
              <w:rPr>
                <w:rFonts w:hint="eastAsia" w:ascii="宋体" w:hAnsi="宋体" w:cs="宋体"/>
                <w:kern w:val="0"/>
              </w:rPr>
              <w:t>分。因管理不善，发生重大质量、安全事故的，各市州（县、区、市）人民政府、甘肃矿区办事处、兰州新区管委会应当依法终止特许经营协议，取消其特许经营权，并可以实施临时接管。</w:t>
            </w:r>
          </w:p>
        </w:tc>
        <w:tc>
          <w:tcPr>
            <w:tcW w:w="1340" w:type="dxa"/>
            <w:vAlign w:val="center"/>
          </w:tcPr>
          <w:p>
            <w:pPr>
              <w:snapToGrid w:val="0"/>
              <w:spacing w:line="240" w:lineRule="atLeast"/>
              <w:jc w:val="left"/>
              <w:rPr>
                <w:rFonts w:ascii="宋体" w:cs="宋体"/>
              </w:rPr>
            </w:pPr>
          </w:p>
        </w:tc>
      </w:tr>
    </w:tbl>
    <w:p>
      <w:pPr>
        <w:spacing w:line="600" w:lineRule="exact"/>
        <w:rPr>
          <w:rFonts w:cs="Times New Roman"/>
        </w:rPr>
        <w:sectPr>
          <w:footerReference r:id="rId5" w:type="default"/>
          <w:footerReference r:id="rId6" w:type="even"/>
          <w:pgSz w:w="16838" w:h="11906" w:orient="landscape"/>
          <w:pgMar w:top="1588" w:right="1134" w:bottom="1531" w:left="1134" w:header="851" w:footer="1304" w:gutter="0"/>
          <w:pgNumType w:fmt="numberInDash"/>
          <w:cols w:space="720" w:num="1"/>
          <w:docGrid w:type="lines" w:linePitch="287" w:charSpace="0"/>
        </w:sectPr>
      </w:pPr>
    </w:p>
    <w:p>
      <w:pPr>
        <w:adjustRightInd w:val="0"/>
        <w:snapToGrid w:val="0"/>
        <w:spacing w:line="600" w:lineRule="exact"/>
        <w:ind w:firstLine="640" w:firstLineChars="200"/>
        <w:rPr>
          <w:rFonts w:ascii="仿宋_GB2312" w:eastAsia="仿宋_GB2312" w:cs="Times New Roman"/>
          <w:color w:val="000000"/>
          <w:sz w:val="32"/>
          <w:szCs w:val="32"/>
          <w:shd w:val="clear" w:color="auto" w:fill="FFFFFF"/>
        </w:rPr>
      </w:pPr>
    </w:p>
    <w:sectPr>
      <w:footerReference r:id="rId7" w:type="default"/>
      <w:pgSz w:w="11906" w:h="16838"/>
      <w:pgMar w:top="1928" w:right="1531" w:bottom="1758" w:left="1588" w:header="851" w:footer="150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rPr>
        <w:rStyle w:val="14"/>
        <w:rFonts w:ascii="宋体" w:cs="宋体"/>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- 7 -</w:t>
    </w:r>
    <w:r>
      <w:rPr>
        <w:rStyle w:val="14"/>
        <w:rFonts w:ascii="宋体" w:hAnsi="宋体" w:cs="宋体"/>
        <w:sz w:val="28"/>
        <w:szCs w:val="28"/>
      </w:rPr>
      <w:fldChar w:fldCharType="end"/>
    </w:r>
  </w:p>
  <w:p>
    <w:pPr>
      <w:pStyle w:val="7"/>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rPr>
        <w:rStyle w:val="14"/>
        <w:rFonts w:ascii="宋体" w:cs="宋体"/>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- 8 -</w:t>
    </w:r>
    <w:r>
      <w:rPr>
        <w:rStyle w:val="14"/>
        <w:rFonts w:ascii="宋体" w:hAnsi="宋体" w:cs="宋体"/>
        <w:sz w:val="28"/>
        <w:szCs w:val="28"/>
      </w:rPr>
      <w:fldChar w:fldCharType="end"/>
    </w:r>
  </w:p>
  <w:p>
    <w:pPr>
      <w:pStyle w:val="7"/>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outside" w:y="1"/>
      <w:rPr>
        <w:rStyle w:val="14"/>
        <w:rFonts w:ascii="宋体" w:cs="Times New Roman"/>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- 19 -</w:t>
    </w:r>
    <w:r>
      <w:rPr>
        <w:rStyle w:val="14"/>
        <w:rFonts w:ascii="宋体" w:hAnsi="宋体" w:cs="宋体"/>
        <w:sz w:val="28"/>
        <w:szCs w:val="28"/>
      </w:rPr>
      <w:fldChar w:fldCharType="end"/>
    </w:r>
  </w:p>
  <w:p>
    <w:pPr>
      <w:pStyle w:val="7"/>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NotTrackMoves/>
  <w:documentProtection w:enforcement="0"/>
  <w:defaultTabStop w:val="420"/>
  <w:doNotHyphenateCaps/>
  <w:evenAndOddHeaders w:val="true"/>
  <w:drawingGridVerticalSpacing w:val="156"/>
  <w:noPunctuationKerning w:val="true"/>
  <w:characterSpacingControl w:val="compressPunctuation"/>
  <w:noLineBreaksAfter w:lang="zh-CN" w:val="([_{´·Ѯش‘“␓〈《「『【〔〖〲脁（．［｛￡￥"/>
  <w:noLineBreaksBefore w:lang="zh-CN" w:val="!(),.:;?[]_{}¨´·ˇˉѮش―‖‘’“”…∶␓、。〃々〈〉《》「」『』【】〔〕〖〗〲脁！＂＇（），．：；？［］｀｛｜｝～￠￡￥"/>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mQ4NmE5NDk4MWYyZWY4NWNmYjQwMDQ0NWRmM2UifQ=="/>
    <w:docVar w:name="KSO_WPS_MARK_KEY" w:val="05496fba-4090-46ea-9d96-86d5dc16a918"/>
  </w:docVars>
  <w:rsids>
    <w:rsidRoot w:val="56F8197C"/>
    <w:rsid w:val="0002185E"/>
    <w:rsid w:val="000B0B51"/>
    <w:rsid w:val="000E22F4"/>
    <w:rsid w:val="001A270F"/>
    <w:rsid w:val="003754F7"/>
    <w:rsid w:val="004E7C09"/>
    <w:rsid w:val="005E3813"/>
    <w:rsid w:val="007058FD"/>
    <w:rsid w:val="00727DEF"/>
    <w:rsid w:val="00924675"/>
    <w:rsid w:val="00A671A3"/>
    <w:rsid w:val="00B814BC"/>
    <w:rsid w:val="00CE62A1"/>
    <w:rsid w:val="00D26BBD"/>
    <w:rsid w:val="00D74CEF"/>
    <w:rsid w:val="00E410A6"/>
    <w:rsid w:val="00EF271F"/>
    <w:rsid w:val="0E0C57BF"/>
    <w:rsid w:val="2BC168F9"/>
    <w:rsid w:val="35DD5053"/>
    <w:rsid w:val="56567336"/>
    <w:rsid w:val="56F8197C"/>
    <w:rsid w:val="5FB53691"/>
    <w:rsid w:val="6FA95C98"/>
    <w:rsid w:val="6FD7E967"/>
    <w:rsid w:val="6FFD95F8"/>
    <w:rsid w:val="7277CE7D"/>
    <w:rsid w:val="76FE28BB"/>
    <w:rsid w:val="76FE6240"/>
    <w:rsid w:val="7F7F5EB8"/>
    <w:rsid w:val="7FDFAAE7"/>
    <w:rsid w:val="7FEB2DCA"/>
    <w:rsid w:val="7FFF66F8"/>
    <w:rsid w:val="BEEC747E"/>
    <w:rsid w:val="BF9BC478"/>
    <w:rsid w:val="BFFF8746"/>
    <w:rsid w:val="CDEF19A5"/>
    <w:rsid w:val="EBFF3352"/>
    <w:rsid w:val="FC5FF879"/>
    <w:rsid w:val="FE6FC9C5"/>
    <w:rsid w:val="FF273B26"/>
    <w:rsid w:val="FF5D396B"/>
    <w:rsid w:val="FFBFDB4E"/>
    <w:rsid w:val="FFFB99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pPr>
      <w:spacing w:after="120"/>
    </w:pPr>
  </w:style>
  <w:style w:type="paragraph" w:styleId="3">
    <w:name w:val="Body Text 2"/>
    <w:basedOn w:val="1"/>
    <w:link w:val="17"/>
    <w:qFormat/>
    <w:uiPriority w:val="99"/>
    <w:pPr>
      <w:spacing w:after="120" w:line="480" w:lineRule="auto"/>
    </w:pPr>
  </w:style>
  <w:style w:type="paragraph" w:styleId="4">
    <w:name w:val="Normal Indent"/>
    <w:basedOn w:val="1"/>
    <w:qFormat/>
    <w:uiPriority w:val="99"/>
    <w:pPr>
      <w:spacing w:line="300" w:lineRule="auto"/>
      <w:ind w:firstLine="482" w:firstLineChars="200"/>
    </w:pPr>
    <w:rPr>
      <w:rFonts w:ascii="宋体" w:hAnsi="Times New Roman" w:cs="宋体"/>
      <w:kern w:val="0"/>
      <w:sz w:val="24"/>
      <w:szCs w:val="24"/>
      <w:lang w:val="zh-CN"/>
    </w:rPr>
  </w:style>
  <w:style w:type="paragraph" w:styleId="5">
    <w:name w:val="Body Text Indent"/>
    <w:basedOn w:val="1"/>
    <w:next w:val="4"/>
    <w:link w:val="18"/>
    <w:qFormat/>
    <w:uiPriority w:val="99"/>
    <w:pPr>
      <w:ind w:left="420"/>
    </w:pPr>
    <w:rPr>
      <w:rFonts w:ascii="仿宋_GB2312" w:eastAsia="仿宋_GB2312" w:cs="仿宋_GB2312"/>
      <w:sz w:val="32"/>
      <w:szCs w:val="32"/>
    </w:rPr>
  </w:style>
  <w:style w:type="paragraph" w:styleId="6">
    <w:name w:val="Body Text Indent 2"/>
    <w:basedOn w:val="1"/>
    <w:next w:val="2"/>
    <w:link w:val="19"/>
    <w:qFormat/>
    <w:uiPriority w:val="99"/>
    <w:pPr>
      <w:spacing w:after="120" w:line="480" w:lineRule="auto"/>
      <w:ind w:left="420" w:leftChars="2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HTML Preformatted"/>
    <w:basedOn w:val="1"/>
    <w:link w:val="2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next w:val="1"/>
    <w:link w:val="23"/>
    <w:qFormat/>
    <w:uiPriority w:val="99"/>
    <w:pPr>
      <w:spacing w:after="120"/>
      <w:ind w:left="200" w:leftChars="200" w:firstLine="420" w:firstLineChars="200"/>
    </w:pPr>
    <w:rPr>
      <w:rFonts w:ascii="Times New Roman" w:cs="Times New Roman"/>
    </w:rPr>
  </w:style>
  <w:style w:type="character" w:styleId="14">
    <w:name w:val="page number"/>
    <w:basedOn w:val="13"/>
    <w:qFormat/>
    <w:uiPriority w:val="99"/>
  </w:style>
  <w:style w:type="character" w:styleId="15">
    <w:name w:val="Hyperlink"/>
    <w:qFormat/>
    <w:uiPriority w:val="99"/>
    <w:rPr>
      <w:color w:val="0000FF"/>
      <w:u w:val="single"/>
    </w:rPr>
  </w:style>
  <w:style w:type="character" w:customStyle="1" w:styleId="16">
    <w:name w:val="正文文本 Char"/>
    <w:link w:val="2"/>
    <w:semiHidden/>
    <w:qFormat/>
    <w:locked/>
    <w:uiPriority w:val="99"/>
    <w:rPr>
      <w:rFonts w:ascii="Calibri" w:hAnsi="Calibri" w:cs="Calibri"/>
      <w:sz w:val="21"/>
      <w:szCs w:val="21"/>
    </w:rPr>
  </w:style>
  <w:style w:type="character" w:customStyle="1" w:styleId="17">
    <w:name w:val="正文文本 2 Char"/>
    <w:link w:val="3"/>
    <w:semiHidden/>
    <w:qFormat/>
    <w:locked/>
    <w:uiPriority w:val="99"/>
    <w:rPr>
      <w:rFonts w:ascii="Calibri" w:hAnsi="Calibri" w:cs="Calibri"/>
      <w:sz w:val="21"/>
      <w:szCs w:val="21"/>
    </w:rPr>
  </w:style>
  <w:style w:type="character" w:customStyle="1" w:styleId="18">
    <w:name w:val="正文文本缩进 Char"/>
    <w:link w:val="5"/>
    <w:semiHidden/>
    <w:qFormat/>
    <w:locked/>
    <w:uiPriority w:val="99"/>
    <w:rPr>
      <w:rFonts w:ascii="Calibri" w:hAnsi="Calibri" w:cs="Calibri"/>
      <w:sz w:val="21"/>
      <w:szCs w:val="21"/>
    </w:rPr>
  </w:style>
  <w:style w:type="character" w:customStyle="1" w:styleId="19">
    <w:name w:val="正文文本缩进 2 Char"/>
    <w:link w:val="6"/>
    <w:semiHidden/>
    <w:qFormat/>
    <w:locked/>
    <w:uiPriority w:val="99"/>
    <w:rPr>
      <w:rFonts w:ascii="Calibri" w:hAnsi="Calibri" w:cs="Calibri"/>
      <w:sz w:val="21"/>
      <w:szCs w:val="21"/>
    </w:rPr>
  </w:style>
  <w:style w:type="character" w:customStyle="1" w:styleId="20">
    <w:name w:val="页脚 Char"/>
    <w:link w:val="7"/>
    <w:qFormat/>
    <w:locked/>
    <w:uiPriority w:val="99"/>
    <w:rPr>
      <w:rFonts w:ascii="Calibri" w:hAnsi="Calibri" w:cs="Calibri"/>
      <w:sz w:val="18"/>
      <w:szCs w:val="18"/>
    </w:rPr>
  </w:style>
  <w:style w:type="character" w:customStyle="1" w:styleId="21">
    <w:name w:val="页眉 Char"/>
    <w:link w:val="8"/>
    <w:semiHidden/>
    <w:qFormat/>
    <w:locked/>
    <w:uiPriority w:val="99"/>
    <w:rPr>
      <w:rFonts w:ascii="Calibri" w:hAnsi="Calibri" w:cs="Calibri"/>
      <w:sz w:val="18"/>
      <w:szCs w:val="18"/>
    </w:rPr>
  </w:style>
  <w:style w:type="character" w:customStyle="1" w:styleId="22">
    <w:name w:val="HTML 预设格式 Char"/>
    <w:link w:val="9"/>
    <w:semiHidden/>
    <w:qFormat/>
    <w:locked/>
    <w:uiPriority w:val="99"/>
    <w:rPr>
      <w:rFonts w:ascii="Courier New" w:hAnsi="Courier New" w:cs="Courier New"/>
      <w:sz w:val="20"/>
      <w:szCs w:val="20"/>
    </w:rPr>
  </w:style>
  <w:style w:type="character" w:customStyle="1" w:styleId="23">
    <w:name w:val="正文首行缩进 2 Char"/>
    <w:link w:val="11"/>
    <w:semiHidden/>
    <w:qFormat/>
    <w:locked/>
    <w:uiPriority w:val="99"/>
    <w:rPr>
      <w:rFonts w:ascii="Calibri" w:hAnsi="Calibri" w:cs="Calibri"/>
      <w:sz w:val="21"/>
      <w:szCs w:val="21"/>
    </w:rPr>
  </w:style>
  <w:style w:type="paragraph" w:customStyle="1" w:styleId="24">
    <w:name w:val="Default"/>
    <w:basedOn w:val="1"/>
    <w:qFormat/>
    <w:uiPriority w:val="99"/>
    <w:pPr>
      <w:autoSpaceDE w:val="0"/>
      <w:autoSpaceDN w:val="0"/>
      <w:adjustRightInd w:val="0"/>
      <w:jc w:val="left"/>
    </w:pPr>
    <w:rPr>
      <w:rFonts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1399</Words>
  <Characters>7978</Characters>
  <Lines>66</Lines>
  <Paragraphs>18</Paragraphs>
  <TotalTime>476</TotalTime>
  <ScaleCrop>false</ScaleCrop>
  <LinksUpToDate>false</LinksUpToDate>
  <CharactersWithSpaces>9359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2024-11-20T09:38:00Z</dcterms:created>
  <dc:creator>pc075</dc:creator>
  <cp:lastModifiedBy>pc075</cp:lastModifiedBy>
  <cp:lastPrinted>2024-11-22T10:44:00Z</cp:lastPrinted>
  <dcterms:modified xsi:type="dcterms:W3CDTF">2024-12-02T09:12:30Z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A0717DDE3C724153BF8A72200A7B2A17</vt:lpwstr>
  </property>
</Properties>
</file>