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napToGrid w:val="0"/>
        <w:spacing w:line="6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方正小标宋简体"/>
          <w:kern w:val="0"/>
          <w:sz w:val="44"/>
          <w:szCs w:val="44"/>
        </w:rPr>
        <w:t>2023</w:t>
      </w:r>
      <w:r>
        <w:rPr>
          <w:rFonts w:hint="eastAsia" w:ascii="方正小标宋简体" w:hAnsi="黑体" w:eastAsia="方正小标宋简体" w:cs="方正小标宋简体"/>
          <w:kern w:val="0"/>
          <w:sz w:val="44"/>
          <w:szCs w:val="44"/>
        </w:rPr>
        <w:t>年专项资金绩效自评市州报送情况</w:t>
      </w:r>
    </w:p>
    <w:bookmarkEnd w:id="0"/>
    <w:tbl>
      <w:tblPr>
        <w:tblStyle w:val="3"/>
        <w:tblW w:w="147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00"/>
        <w:gridCol w:w="1300"/>
        <w:gridCol w:w="1300"/>
        <w:gridCol w:w="1300"/>
        <w:gridCol w:w="1160"/>
        <w:gridCol w:w="1160"/>
        <w:gridCol w:w="1160"/>
        <w:gridCol w:w="1160"/>
        <w:gridCol w:w="989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城乡建设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补助资金（城建）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城乡建设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补助资金（村镇）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城乡建设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补助资金（抗震）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城乡建设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补助资金（科技）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城市生活垃圾分类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加装电梯奖补资金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农危房补助资金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汇总报送的市州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报送及时且质量较好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兰州市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甘南州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定西市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未报送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酒泉市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嘉峪关市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金昌市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临夏州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武威市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未报送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未报送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陇南市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天水市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平凉市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白银市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庆阳市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张掖市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兰州新区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√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不涉及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9 -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U2ZTNhYjA4NDk0YjYzNzk4ZmFmODZkZmU5ZGEifQ=="/>
  </w:docVars>
  <w:rsids>
    <w:rsidRoot w:val="2065468A"/>
    <w:rsid w:val="2065468A"/>
    <w:rsid w:val="42625F75"/>
    <w:rsid w:val="4E387864"/>
    <w:rsid w:val="5D9500AD"/>
    <w:rsid w:val="6E0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2024-07-18T07:31:00Z</dcterms:created>
  <dc:creator>Wstar1</dc:creator>
  <cp:lastModifiedBy>Wstar1</cp:lastModifiedBy>
  <dcterms:modified xsi:type="dcterms:W3CDTF">2024-07-18T07:35:25Z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1FCE4CF5DF2C40F3993E9CF5F81736B8_13</vt:lpwstr>
  </property>
</Properties>
</file>